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5E9D" w14:textId="77777777" w:rsidR="00D378B8" w:rsidRPr="009B1D4E" w:rsidRDefault="00F4498B">
      <w:pPr>
        <w:pStyle w:val="CoverPageTitle"/>
        <w:ind w:right="4504"/>
        <w:rPr>
          <w:noProof/>
          <w:lang w:val="fr-FR"/>
        </w:rPr>
      </w:pPr>
      <w:bookmarkStart w:id="0" w:name="_Toc161249753"/>
      <w:bookmarkStart w:id="1" w:name="_Toc161250459"/>
      <w:bookmarkStart w:id="2" w:name="_Toc161250527"/>
      <w:bookmarkStart w:id="3" w:name="_Toc161249754"/>
      <w:bookmarkStart w:id="4" w:name="_Toc161250460"/>
      <w:bookmarkStart w:id="5" w:name="_Toc161250528"/>
      <w:r w:rsidRPr="009B1D4E">
        <w:rPr>
          <w:noProof/>
          <w:lang w:val="fr-FR"/>
        </w:rPr>
        <w:drawing>
          <wp:anchor distT="0" distB="0" distL="114300" distR="114300" simplePos="0" relativeHeight="251662336" behindDoc="0" locked="0" layoutInCell="1" allowOverlap="1" wp14:anchorId="55FC06C9" wp14:editId="409D2942">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9B1D4E">
        <w:rPr>
          <w:noProof/>
          <w:lang w:val="fr-FR"/>
        </w:rPr>
        <w:t>Liste de contrôle de la qualité des évaluations décentralisées</w:t>
      </w:r>
    </w:p>
    <w:p w14:paraId="4B7D689A" w14:textId="77777777" w:rsidR="00D378B8" w:rsidRPr="009B1D4E" w:rsidRDefault="00F4498B">
      <w:pPr>
        <w:pStyle w:val="CoverSubtitle"/>
        <w:rPr>
          <w:noProof/>
          <w:lang w:val="fr-FR"/>
        </w:rPr>
      </w:pPr>
      <w:r w:rsidRPr="009B1D4E">
        <w:rPr>
          <w:noProof/>
          <w:lang w:val="fr-FR"/>
        </w:rPr>
        <w:t xml:space="preserve">Termes de référence </w:t>
      </w:r>
    </w:p>
    <w:p w14:paraId="2522C54C" w14:textId="77777777" w:rsidR="00D378B8" w:rsidRPr="009B1D4E" w:rsidRDefault="00F4498B">
      <w:pPr>
        <w:pStyle w:val="CoverSubtitle"/>
        <w:rPr>
          <w:noProof/>
          <w:lang w:val="fr-FR"/>
        </w:rPr>
      </w:pPr>
      <w:r w:rsidRPr="009B1D4E">
        <w:rPr>
          <w:noProof/>
          <w:lang w:val="fr-FR"/>
        </w:rPr>
        <w:t>Version: avril 2024</w:t>
      </w:r>
    </w:p>
    <w:p w14:paraId="41F7B6EC" w14:textId="77777777" w:rsidR="00D378B8" w:rsidRPr="009B1D4E" w:rsidRDefault="00D378B8">
      <w:pPr>
        <w:pStyle w:val="CoverSubtitle"/>
        <w:rPr>
          <w:noProof/>
          <w:lang w:val="fr-FR"/>
        </w:rPr>
      </w:pPr>
    </w:p>
    <w:p w14:paraId="57314C0E" w14:textId="21CE95E6" w:rsidR="00D378B8" w:rsidRPr="009B1D4E" w:rsidRDefault="00F4498B">
      <w:pPr>
        <w:pStyle w:val="CoverSubtitle"/>
        <w:rPr>
          <w:b/>
          <w:noProof/>
          <w:lang w:val="fr-FR"/>
        </w:rPr>
      </w:pPr>
      <w:r w:rsidRPr="009B1D4E">
        <w:rPr>
          <w:noProof/>
          <w:lang w:val="fr-FR"/>
        </w:rPr>
        <w:t>[Titre de l</w:t>
      </w:r>
      <w:r w:rsidR="009B1D4E" w:rsidRPr="009B1D4E">
        <w:rPr>
          <w:noProof/>
          <w:lang w:val="fr-FR"/>
        </w:rPr>
        <w:t>’</w:t>
      </w:r>
      <w:r w:rsidRPr="009B1D4E">
        <w:rPr>
          <w:noProof/>
          <w:lang w:val="fr-FR"/>
        </w:rPr>
        <w:t>évaluation décentralisée]</w:t>
      </w:r>
      <w:r w:rsidRPr="009B1D4E">
        <w:rPr>
          <w:b/>
          <w:noProof/>
          <w:lang w:val="fr-FR"/>
        </w:rPr>
        <w:br w:type="page"/>
      </w:r>
    </w:p>
    <w:bookmarkEnd w:id="3"/>
    <w:bookmarkEnd w:id="4"/>
    <w:bookmarkEnd w:id="5"/>
    <w:p w14:paraId="193FAA80" w14:textId="77777777" w:rsidR="00D378B8" w:rsidRPr="009B1D4E" w:rsidRDefault="00D378B8">
      <w:pPr>
        <w:rPr>
          <w:noProof/>
          <w:lang w:val="fr-FR"/>
        </w:rPr>
        <w:sectPr w:rsidR="00D378B8" w:rsidRPr="009B1D4E" w:rsidSect="00FB78BB">
          <w:headerReference w:type="even" r:id="rId12"/>
          <w:headerReference w:type="default" r:id="rId13"/>
          <w:footerReference w:type="even" r:id="rId14"/>
          <w:footerReference w:type="default" r:id="rId15"/>
          <w:headerReference w:type="first" r:id="rId16"/>
          <w:footerReference w:type="first" r:id="rId17"/>
          <w:pgSz w:w="16834" w:h="11909" w:orient="landscape" w:code="9"/>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3601"/>
        <w:gridCol w:w="931"/>
        <w:gridCol w:w="1565"/>
        <w:gridCol w:w="3248"/>
      </w:tblGrid>
      <w:tr w:rsidR="00D378B8" w:rsidRPr="009B1D4E" w14:paraId="5E4BF5B8" w14:textId="77777777">
        <w:trPr>
          <w:trHeight w:val="96"/>
        </w:trPr>
        <w:tc>
          <w:tcPr>
            <w:tcW w:w="5000" w:type="pct"/>
            <w:gridSpan w:val="5"/>
            <w:tcBorders>
              <w:top w:val="nil"/>
              <w:left w:val="nil"/>
              <w:right w:val="nil"/>
            </w:tcBorders>
            <w:shd w:val="clear" w:color="auto" w:fill="auto"/>
          </w:tcPr>
          <w:p w14:paraId="3A7CBC2E" w14:textId="4BB15595" w:rsidR="00D378B8" w:rsidRPr="009B1D4E" w:rsidRDefault="00F4498B">
            <w:pPr>
              <w:rPr>
                <w:rStyle w:val="StyleArialNarrow"/>
                <w:rFonts w:asciiTheme="majorHAnsi" w:hAnsiTheme="majorHAnsi" w:cstheme="majorHAnsi"/>
                <w:b/>
                <w:bCs/>
                <w:noProof/>
                <w:color w:val="FFFFFF" w:themeColor="background1"/>
                <w:szCs w:val="18"/>
                <w:lang w:val="fr-FR"/>
              </w:rPr>
            </w:pPr>
            <w:r w:rsidRPr="009B1D4E">
              <w:rPr>
                <w:rStyle w:val="StyleArialNarrow"/>
                <w:rFonts w:asciiTheme="majorHAnsi" w:hAnsiTheme="majorHAnsi" w:cstheme="majorHAnsi"/>
                <w:b/>
                <w:noProof/>
                <w:color w:val="E3002B" w:themeColor="accent6"/>
                <w:lang w:val="fr-FR"/>
              </w:rPr>
              <w:lastRenderedPageBreak/>
              <w:t>Ne soumettez les termes de référence provisoires à la validation du service d’appui à la qualité des évaluations décentralisées (DEQS) qu</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à condition de remplir au moins un critère de qualité. Dans le cadre d</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un processus d</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assurance qualité de niveau 2, le coordonnateur/la coordonnatrice au sein de l</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unité régionale d</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évaluation (ou l</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unité responsable des capacités et de la qualité, en cas d</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évaluation menée au niveau du siège) devra confirmer que les termes de référence remplissent les critères et qu’ils peuvent être présentés au DEQS. Lorsque le DEQS reçoit des termes de référence non conformes aux critères de qualité, il les renvoie, ce qui peut occasionner des retards. En cas de doute sur la qualité des termes de référence, ou lorsque vous estimez avoir un motif valable pour soumettre un rapport de mise en route incomplet, il est recommandé de prendre contact avec le service d</w:t>
            </w:r>
            <w:r w:rsidR="009B1D4E" w:rsidRPr="009B1D4E">
              <w:rPr>
                <w:rStyle w:val="StyleArialNarrow"/>
                <w:rFonts w:asciiTheme="majorHAnsi" w:hAnsiTheme="majorHAnsi" w:cstheme="majorHAnsi"/>
                <w:b/>
                <w:noProof/>
                <w:color w:val="E3002B" w:themeColor="accent6"/>
                <w:lang w:val="fr-FR"/>
              </w:rPr>
              <w:t>’</w:t>
            </w:r>
            <w:r w:rsidRPr="009B1D4E">
              <w:rPr>
                <w:rStyle w:val="StyleArialNarrow"/>
                <w:rFonts w:asciiTheme="majorHAnsi" w:hAnsiTheme="majorHAnsi" w:cstheme="majorHAnsi"/>
                <w:b/>
                <w:noProof/>
                <w:color w:val="E3002B" w:themeColor="accent6"/>
                <w:lang w:val="fr-FR"/>
              </w:rPr>
              <w:t xml:space="preserve">assistance aux évaluations décentralisées en écrivant à l’adresse suivante: </w:t>
            </w:r>
            <w:hyperlink r:id="rId18" w:history="1">
              <w:r w:rsidR="009B1D4E" w:rsidRPr="009B1D4E">
                <w:rPr>
                  <w:rStyle w:val="Hyperlink"/>
                  <w:rFonts w:asciiTheme="majorHAnsi" w:hAnsiTheme="majorHAnsi" w:cstheme="majorHAnsi"/>
                  <w:b/>
                  <w:noProof/>
                  <w:lang w:val="fr-FR"/>
                </w:rPr>
                <w:t>wfp.decentralizedevaluation@wfp.org.</w:t>
              </w:r>
            </w:hyperlink>
            <w:r w:rsidRPr="009B1D4E">
              <w:rPr>
                <w:rFonts w:asciiTheme="majorHAnsi" w:hAnsiTheme="majorHAnsi" w:cstheme="majorHAnsi"/>
                <w:noProof/>
                <w:color w:val="E3002B" w:themeColor="accent6"/>
                <w:lang w:val="fr-FR"/>
              </w:rPr>
              <w:t xml:space="preserve"> </w:t>
            </w:r>
          </w:p>
        </w:tc>
      </w:tr>
      <w:tr w:rsidR="00D378B8" w:rsidRPr="009B1D4E" w14:paraId="630EF0FA" w14:textId="77777777">
        <w:trPr>
          <w:trHeight w:val="96"/>
        </w:trPr>
        <w:tc>
          <w:tcPr>
            <w:tcW w:w="5000" w:type="pct"/>
            <w:gridSpan w:val="5"/>
            <w:shd w:val="clear" w:color="auto" w:fill="1073B5"/>
          </w:tcPr>
          <w:p w14:paraId="231E78D9" w14:textId="19238E4C" w:rsidR="00D378B8" w:rsidRPr="009B1D4E" w:rsidRDefault="00F4498B">
            <w:pPr>
              <w:rPr>
                <w:rStyle w:val="StyleArialNarrow"/>
                <w:rFonts w:asciiTheme="majorHAnsi" w:hAnsiTheme="majorHAnsi" w:cstheme="majorHAnsi"/>
                <w:b/>
                <w:bCs/>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Ensemble du document</w:t>
            </w:r>
          </w:p>
        </w:tc>
      </w:tr>
      <w:tr w:rsidR="00D378B8" w:rsidRPr="009B1D4E" w14:paraId="588AF513" w14:textId="77777777">
        <w:trPr>
          <w:trHeight w:val="96"/>
        </w:trPr>
        <w:tc>
          <w:tcPr>
            <w:tcW w:w="2961" w:type="pct"/>
            <w:gridSpan w:val="2"/>
            <w:shd w:val="clear" w:color="auto" w:fill="FFFFFF" w:themeFill="background1"/>
          </w:tcPr>
          <w:p w14:paraId="4F3F7FFC" w14:textId="293D40B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généraux</w:t>
            </w:r>
            <w:r w:rsidRPr="009B1D4E">
              <w:rPr>
                <w:rStyle w:val="StyleArialNarrow"/>
                <w:rFonts w:asciiTheme="majorHAnsi" w:hAnsiTheme="majorHAnsi" w:cstheme="majorHAnsi"/>
                <w:noProof/>
                <w:lang w:val="fr-FR"/>
              </w:rPr>
              <w:tab/>
            </w:r>
          </w:p>
        </w:tc>
        <w:tc>
          <w:tcPr>
            <w:tcW w:w="296" w:type="pct"/>
            <w:shd w:val="clear" w:color="auto" w:fill="FFFFFF" w:themeFill="background1"/>
          </w:tcPr>
          <w:p w14:paraId="521DC63B"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1743" w:type="pct"/>
            <w:gridSpan w:val="2"/>
            <w:shd w:val="clear" w:color="auto" w:fill="FFFFFF" w:themeFill="background1"/>
          </w:tcPr>
          <w:p w14:paraId="5B4A9D8C"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w:t>
            </w:r>
          </w:p>
        </w:tc>
      </w:tr>
      <w:tr w:rsidR="00D378B8" w:rsidRPr="009B1D4E" w14:paraId="01E978DD" w14:textId="77777777">
        <w:trPr>
          <w:trHeight w:val="667"/>
        </w:trPr>
        <w:tc>
          <w:tcPr>
            <w:tcW w:w="2961" w:type="pct"/>
            <w:gridSpan w:val="2"/>
          </w:tcPr>
          <w:p w14:paraId="65E8C559"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t>Titre</w:t>
            </w:r>
          </w:p>
          <w:p w14:paraId="2DE7D34E"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Clair sans être trop long, reflétant l’objet de l’évaluation et son type (à mi-parcours/évaluation finale)</w:t>
            </w:r>
          </w:p>
          <w:p w14:paraId="31A2275C"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t>Longueur</w:t>
            </w:r>
          </w:p>
          <w:p w14:paraId="34CCCDF6"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 texte est inférieur ou égal à 11 000 mots, annexes et table des matières non comprises. Un dépassement de 15 % (pour atteindre 12 560 mots au total) est autorisé pour les documents rédigés en français ou en espagnol. </w:t>
            </w:r>
          </w:p>
          <w:p w14:paraId="30063288"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t>Accessibilité</w:t>
            </w:r>
          </w:p>
          <w:p w14:paraId="78CD4EEA"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termes de référence sont rédigés de façon claire et accessible.</w:t>
            </w:r>
          </w:p>
          <w:p w14:paraId="77595A18"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Les termes de référence soulignent de façon adéquate l’orientation stratégique et/ou opérationnelle de l’évaluation décentralisée. </w:t>
            </w:r>
          </w:p>
          <w:p w14:paraId="39E24AEC"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termes de référence donnent un solide aperçu de l’objet de l’évaluation.</w:t>
            </w:r>
          </w:p>
          <w:p w14:paraId="3961117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termes de référence fournissent aux parties prenantes des informations suffisantes sur le déroulement de l’évaluation, tout en restant clairs et concis.</w:t>
            </w:r>
          </w:p>
          <w:p w14:paraId="5BE87C0A"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termes de référence fournissent à l’équipe d’évaluation des informations suffisantes sur ce que l’on attend d’elle.</w:t>
            </w:r>
          </w:p>
        </w:tc>
        <w:tc>
          <w:tcPr>
            <w:tcW w:w="296" w:type="pct"/>
          </w:tcPr>
          <w:p w14:paraId="00EB7C1B" w14:textId="77777777" w:rsidR="00D378B8" w:rsidRPr="009B1D4E" w:rsidRDefault="00D378B8">
            <w:pPr>
              <w:rPr>
                <w:rStyle w:val="StyleArialNarrow"/>
                <w:rFonts w:asciiTheme="majorHAnsi" w:hAnsiTheme="majorHAnsi" w:cstheme="majorHAnsi"/>
                <w:b/>
                <w:noProof/>
                <w:szCs w:val="18"/>
                <w:lang w:val="fr-FR"/>
              </w:rPr>
            </w:pPr>
          </w:p>
        </w:tc>
        <w:tc>
          <w:tcPr>
            <w:tcW w:w="1743" w:type="pct"/>
            <w:gridSpan w:val="2"/>
          </w:tcPr>
          <w:p w14:paraId="6504BD92" w14:textId="77777777" w:rsidR="00D378B8" w:rsidRPr="009B1D4E" w:rsidRDefault="00D378B8">
            <w:pPr>
              <w:rPr>
                <w:rStyle w:val="StyleArialNarrow"/>
                <w:rFonts w:asciiTheme="majorHAnsi" w:hAnsiTheme="majorHAnsi" w:cstheme="majorHAnsi"/>
                <w:b/>
                <w:noProof/>
                <w:szCs w:val="18"/>
                <w:lang w:val="fr-FR"/>
              </w:rPr>
            </w:pPr>
          </w:p>
        </w:tc>
      </w:tr>
      <w:tr w:rsidR="00D378B8" w:rsidRPr="009B1D4E" w14:paraId="57AB36E6" w14:textId="77777777">
        <w:trPr>
          <w:trHeight w:val="80"/>
        </w:trPr>
        <w:tc>
          <w:tcPr>
            <w:tcW w:w="2961" w:type="pct"/>
            <w:gridSpan w:val="2"/>
          </w:tcPr>
          <w:p w14:paraId="74CE67A9"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Rédaction</w:t>
            </w:r>
          </w:p>
        </w:tc>
        <w:tc>
          <w:tcPr>
            <w:tcW w:w="296" w:type="pct"/>
          </w:tcPr>
          <w:p w14:paraId="2D6BB323"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1743" w:type="pct"/>
            <w:gridSpan w:val="2"/>
          </w:tcPr>
          <w:p w14:paraId="17C4101F" w14:textId="1BD0D942"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w:t>
            </w:r>
          </w:p>
        </w:tc>
      </w:tr>
      <w:tr w:rsidR="00D378B8" w:rsidRPr="009B1D4E" w14:paraId="52D0624C" w14:textId="77777777">
        <w:trPr>
          <w:trHeight w:val="530"/>
        </w:trPr>
        <w:tc>
          <w:tcPr>
            <w:tcW w:w="2961" w:type="pct"/>
            <w:gridSpan w:val="2"/>
          </w:tcPr>
          <w:p w14:paraId="5E65F3E3" w14:textId="3C460214"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lastRenderedPageBreak/>
              <w:t xml:space="preserve">Les termes de référence sont rédigés conformément aux directives éditoriales du </w:t>
            </w:r>
            <w:r w:rsidR="00A178D5">
              <w:rPr>
                <w:rStyle w:val="StyleArialNarrow"/>
                <w:rFonts w:asciiTheme="majorHAnsi" w:hAnsiTheme="majorHAnsi" w:cstheme="majorHAnsi"/>
                <w:noProof/>
                <w:lang w:val="fr-FR"/>
              </w:rPr>
              <w:t>Programme alimentaire mondial (</w:t>
            </w:r>
            <w:r w:rsidRPr="009B1D4E">
              <w:rPr>
                <w:rStyle w:val="StyleArialNarrow"/>
                <w:rFonts w:asciiTheme="majorHAnsi" w:hAnsiTheme="majorHAnsi" w:cstheme="majorHAnsi"/>
                <w:noProof/>
                <w:lang w:val="fr-FR"/>
              </w:rPr>
              <w:t>PAM</w:t>
            </w:r>
            <w:r w:rsidR="00A178D5">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w:t>
            </w:r>
          </w:p>
          <w:p w14:paraId="084A3F9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 modèle DEQAS a été suivi (facultatif pour les évaluations conjointes) et tous ses éléments, y compris le texte standard, sont inclus dans les termes de référence. </w:t>
            </w:r>
          </w:p>
          <w:p w14:paraId="2376E59E"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acronymes sont développés à la première occurrence.</w:t>
            </w:r>
          </w:p>
          <w:p w14:paraId="23539CBE"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Les pages et paragraphes sont numérotés. </w:t>
            </w:r>
          </w:p>
          <w:p w14:paraId="59B0DD4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Des références croisées sont utilisées.</w:t>
            </w:r>
          </w:p>
          <w:p w14:paraId="71266FE4"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Une table des matières est fournie, de même qu’une liste des tableaux, graphiques, figures et annexes.</w:t>
            </w:r>
          </w:p>
          <w:p w14:paraId="6A9F826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 rapport ne comporte aucune erreur de grammaire, d’orthographe ou de ponctuation.</w:t>
            </w:r>
          </w:p>
          <w:p w14:paraId="04598328"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Des cartes, illustrations, tableaux et diagrammes sont utilisés de façon pertinente et sont numérotés.</w:t>
            </w:r>
          </w:p>
          <w:p w14:paraId="790946AE"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sources des données/citations sont indiquées (soit directement sous le tableau/graphique, soit dans les notes de bas de page).</w:t>
            </w:r>
          </w:p>
        </w:tc>
        <w:tc>
          <w:tcPr>
            <w:tcW w:w="296" w:type="pct"/>
            <w:shd w:val="clear" w:color="auto" w:fill="auto"/>
          </w:tcPr>
          <w:p w14:paraId="73E98768" w14:textId="77777777" w:rsidR="00D378B8" w:rsidRPr="009B1D4E" w:rsidRDefault="00D378B8">
            <w:pPr>
              <w:rPr>
                <w:rStyle w:val="StyleArialNarrow"/>
                <w:rFonts w:asciiTheme="majorHAnsi" w:hAnsiTheme="majorHAnsi" w:cstheme="majorHAnsi"/>
                <w:b/>
                <w:noProof/>
                <w:szCs w:val="18"/>
                <w:lang w:val="fr-FR"/>
              </w:rPr>
            </w:pPr>
          </w:p>
        </w:tc>
        <w:tc>
          <w:tcPr>
            <w:tcW w:w="1743" w:type="pct"/>
            <w:gridSpan w:val="2"/>
            <w:shd w:val="clear" w:color="auto" w:fill="auto"/>
          </w:tcPr>
          <w:p w14:paraId="60FC86E8" w14:textId="77777777" w:rsidR="00D378B8" w:rsidRPr="009B1D4E" w:rsidRDefault="00D378B8">
            <w:pPr>
              <w:rPr>
                <w:rStyle w:val="StyleArialNarrow"/>
                <w:rFonts w:asciiTheme="majorHAnsi" w:hAnsiTheme="majorHAnsi" w:cstheme="majorHAnsi"/>
                <w:b/>
                <w:noProof/>
                <w:szCs w:val="18"/>
                <w:lang w:val="fr-FR"/>
              </w:rPr>
            </w:pPr>
          </w:p>
        </w:tc>
      </w:tr>
      <w:tr w:rsidR="00D378B8" w:rsidRPr="009B1D4E" w14:paraId="0B1EA3DB" w14:textId="77777777">
        <w:trPr>
          <w:trHeight w:val="77"/>
        </w:trPr>
        <w:tc>
          <w:tcPr>
            <w:tcW w:w="5000" w:type="pct"/>
            <w:gridSpan w:val="5"/>
            <w:shd w:val="clear" w:color="auto" w:fill="1073B5"/>
          </w:tcPr>
          <w:p w14:paraId="1F57ECA8" w14:textId="77777777" w:rsidR="00D378B8" w:rsidRPr="009B1D4E" w:rsidRDefault="00F4498B">
            <w:pPr>
              <w:pStyle w:val="P68B1DB1-ListParagraph1"/>
              <w:numPr>
                <w:ilvl w:val="0"/>
                <w:numId w:val="46"/>
              </w:numPr>
              <w:rPr>
                <w:bCs/>
                <w:noProof/>
                <w:szCs w:val="18"/>
                <w:lang w:val="fr-FR"/>
              </w:rPr>
            </w:pPr>
            <w:r w:rsidRPr="009B1D4E">
              <w:rPr>
                <w:noProof/>
                <w:lang w:val="fr-FR"/>
              </w:rPr>
              <w:t>Introduction</w:t>
            </w:r>
          </w:p>
        </w:tc>
      </w:tr>
      <w:tr w:rsidR="00D378B8" w:rsidRPr="009B1D4E" w14:paraId="3D23EE30" w14:textId="77777777">
        <w:tc>
          <w:tcPr>
            <w:tcW w:w="1661" w:type="pct"/>
            <w:shd w:val="clear" w:color="auto" w:fill="auto"/>
          </w:tcPr>
          <w:p w14:paraId="3180AC3A"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Contenu attendu</w:t>
            </w:r>
          </w:p>
        </w:tc>
        <w:tc>
          <w:tcPr>
            <w:tcW w:w="1596" w:type="pct"/>
            <w:gridSpan w:val="2"/>
            <w:shd w:val="clear" w:color="auto" w:fill="auto"/>
          </w:tcPr>
          <w:p w14:paraId="305BF23B" w14:textId="5537A59E"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570" w:type="pct"/>
            <w:shd w:val="clear" w:color="auto" w:fill="auto"/>
          </w:tcPr>
          <w:p w14:paraId="52688E02"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 xml:space="preserve">Critères remplis </w:t>
            </w:r>
          </w:p>
        </w:tc>
        <w:tc>
          <w:tcPr>
            <w:tcW w:w="1173" w:type="pct"/>
            <w:shd w:val="clear" w:color="auto" w:fill="auto"/>
          </w:tcPr>
          <w:p w14:paraId="101CD4FF"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Commentaires/statut</w:t>
            </w:r>
          </w:p>
        </w:tc>
      </w:tr>
      <w:tr w:rsidR="00D378B8" w:rsidRPr="009B1D4E" w14:paraId="032864E7" w14:textId="77777777">
        <w:tc>
          <w:tcPr>
            <w:tcW w:w="1661" w:type="pct"/>
          </w:tcPr>
          <w:p w14:paraId="26758014" w14:textId="03A1348A"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Nom du bureau commanditaire</w:t>
            </w:r>
            <w:r w:rsidR="009B1D4E">
              <w:rPr>
                <w:rStyle w:val="StyleArialNarrow"/>
                <w:rFonts w:asciiTheme="majorHAnsi" w:hAnsiTheme="majorHAnsi" w:cstheme="majorHAnsi"/>
                <w:noProof/>
                <w:lang w:val="fr-FR"/>
              </w:rPr>
              <w:t>.</w:t>
            </w:r>
          </w:p>
          <w:p w14:paraId="04BF548A" w14:textId="5A6938F2"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Finalité des termes de référence et de l’évaluation</w:t>
            </w:r>
            <w:r w:rsidR="009B1D4E">
              <w:rPr>
                <w:rStyle w:val="StyleArialNarrow"/>
                <w:rFonts w:asciiTheme="majorHAnsi" w:hAnsiTheme="majorHAnsi" w:cstheme="majorHAnsi"/>
                <w:noProof/>
                <w:lang w:val="fr-FR"/>
              </w:rPr>
              <w:t>.</w:t>
            </w:r>
          </w:p>
          <w:p w14:paraId="3B1ADA5F" w14:textId="0C99B9B3"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Type d</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évaluation (activité, domaine thématique, modalité de transfert, projet pilote/autre)</w:t>
            </w:r>
            <w:r w:rsidR="009B1D4E">
              <w:rPr>
                <w:rStyle w:val="StyleArialNarrow"/>
                <w:rFonts w:asciiTheme="majorHAnsi" w:hAnsiTheme="majorHAnsi" w:cstheme="majorHAnsi"/>
                <w:noProof/>
                <w:lang w:val="fr-FR"/>
              </w:rPr>
              <w:t>.</w:t>
            </w:r>
          </w:p>
          <w:p w14:paraId="103836BF" w14:textId="0075CB3E"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Titre de l’évaluation</w:t>
            </w:r>
            <w:r w:rsidR="009B1D4E">
              <w:rPr>
                <w:rStyle w:val="StyleArialNarrow"/>
                <w:rFonts w:asciiTheme="majorHAnsi" w:hAnsiTheme="majorHAnsi" w:cstheme="majorHAnsi"/>
                <w:noProof/>
                <w:lang w:val="fr-FR"/>
              </w:rPr>
              <w:t>.</w:t>
            </w:r>
          </w:p>
          <w:p w14:paraId="5798F4C2" w14:textId="4202BA60"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Brève description de l’objet/du champ d’application (interventions, activités, groupe cible, couverture géographique et temporelle)</w:t>
            </w:r>
            <w:r w:rsidR="009B1D4E">
              <w:rPr>
                <w:rStyle w:val="StyleArialNarrow"/>
                <w:rFonts w:asciiTheme="majorHAnsi" w:hAnsiTheme="majorHAnsi" w:cstheme="majorHAnsi"/>
                <w:noProof/>
                <w:lang w:val="fr-FR"/>
              </w:rPr>
              <w:t>.</w:t>
            </w:r>
          </w:p>
          <w:p w14:paraId="192D1012" w14:textId="7DB4DF32" w:rsidR="00D378B8" w:rsidRPr="009B1D4E" w:rsidRDefault="00F4498B" w:rsidP="009B1D4E">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Période couverte par l’évaluation</w:t>
            </w:r>
            <w:r w:rsidR="009B1D4E">
              <w:rPr>
                <w:rStyle w:val="StyleArialNarrow"/>
                <w:rFonts w:asciiTheme="majorHAnsi" w:hAnsiTheme="majorHAnsi" w:cstheme="majorHAnsi"/>
                <w:noProof/>
                <w:lang w:val="fr-FR"/>
              </w:rPr>
              <w:t>.</w:t>
            </w:r>
          </w:p>
          <w:p w14:paraId="35A9EA35" w14:textId="77777777" w:rsidR="009B1D4E" w:rsidRDefault="009B1D4E" w:rsidP="009B1D4E">
            <w:pPr>
              <w:pStyle w:val="Bulletlist1"/>
              <w:numPr>
                <w:ilvl w:val="0"/>
                <w:numId w:val="0"/>
              </w:numPr>
              <w:ind w:left="720" w:hanging="360"/>
              <w:rPr>
                <w:rStyle w:val="StyleArialNarrow"/>
                <w:rFonts w:asciiTheme="majorHAnsi" w:hAnsiTheme="majorHAnsi" w:cstheme="majorHAnsi"/>
                <w:noProof/>
                <w:lang w:val="fr-FR"/>
              </w:rPr>
            </w:pPr>
          </w:p>
          <w:p w14:paraId="72ED55B4" w14:textId="758013AC" w:rsidR="009B1D4E" w:rsidRPr="009B1D4E" w:rsidRDefault="009B1D4E" w:rsidP="009B1D4E">
            <w:pPr>
              <w:pStyle w:val="Bulletlist1"/>
              <w:numPr>
                <w:ilvl w:val="0"/>
                <w:numId w:val="0"/>
              </w:numPr>
              <w:ind w:left="720" w:hanging="360"/>
              <w:rPr>
                <w:rStyle w:val="StyleArialNarrow"/>
                <w:rFonts w:asciiTheme="majorHAnsi" w:hAnsiTheme="majorHAnsi" w:cstheme="majorHAnsi"/>
                <w:noProof/>
                <w:szCs w:val="18"/>
                <w:lang w:val="fr-FR"/>
              </w:rPr>
            </w:pPr>
          </w:p>
        </w:tc>
        <w:tc>
          <w:tcPr>
            <w:tcW w:w="1596" w:type="pct"/>
            <w:gridSpan w:val="2"/>
          </w:tcPr>
          <w:p w14:paraId="15FDE277" w14:textId="35CE5F4E"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La terminologie standard est utilisée et adaptée si nécessaire</w:t>
            </w:r>
            <w:r w:rsidR="009B1D4E">
              <w:rPr>
                <w:rStyle w:val="StyleArialNarrow"/>
                <w:rFonts w:asciiTheme="majorHAnsi" w:hAnsiTheme="majorHAnsi" w:cstheme="majorHAnsi"/>
                <w:noProof/>
                <w:lang w:val="fr-FR"/>
              </w:rPr>
              <w:t>.</w:t>
            </w:r>
          </w:p>
          <w:p w14:paraId="4ED0D4BD" w14:textId="492AFF03" w:rsidR="00D378B8" w:rsidRPr="009B1D4E" w:rsidRDefault="00F4498B" w:rsidP="009B1D4E">
            <w:pPr>
              <w:pStyle w:val="Bulletlist1"/>
              <w:rPr>
                <w:rFonts w:asciiTheme="majorHAnsi" w:hAnsiTheme="majorHAnsi" w:cstheme="majorHAnsi"/>
                <w:noProof/>
                <w:szCs w:val="18"/>
                <w:lang w:val="fr-FR"/>
              </w:rPr>
            </w:pPr>
            <w:r w:rsidRPr="009B1D4E">
              <w:rPr>
                <w:rStyle w:val="StyleArialNarrow"/>
                <w:rFonts w:asciiTheme="majorHAnsi" w:hAnsiTheme="majorHAnsi" w:cstheme="majorHAnsi"/>
                <w:noProof/>
                <w:lang w:val="fr-FR"/>
              </w:rPr>
              <w:t>Le contenu attendu est fourni de façon claire et concise</w:t>
            </w:r>
            <w:r w:rsidR="009B1D4E">
              <w:rPr>
                <w:rStyle w:val="StyleArialNarrow"/>
                <w:rFonts w:asciiTheme="majorHAnsi" w:hAnsiTheme="majorHAnsi" w:cstheme="majorHAnsi"/>
                <w:noProof/>
                <w:lang w:val="fr-FR"/>
              </w:rPr>
              <w:t>.</w:t>
            </w:r>
          </w:p>
        </w:tc>
        <w:tc>
          <w:tcPr>
            <w:tcW w:w="570" w:type="pct"/>
          </w:tcPr>
          <w:p w14:paraId="3C7E25DC" w14:textId="77777777" w:rsidR="00D378B8" w:rsidRPr="009B1D4E" w:rsidRDefault="00D378B8">
            <w:pPr>
              <w:rPr>
                <w:rStyle w:val="StyleArialNarrow"/>
                <w:rFonts w:asciiTheme="majorHAnsi" w:hAnsiTheme="majorHAnsi" w:cstheme="majorHAnsi"/>
                <w:noProof/>
                <w:szCs w:val="18"/>
                <w:lang w:val="fr-FR"/>
              </w:rPr>
            </w:pPr>
          </w:p>
        </w:tc>
        <w:tc>
          <w:tcPr>
            <w:tcW w:w="1173" w:type="pct"/>
          </w:tcPr>
          <w:p w14:paraId="4E7F4289" w14:textId="77777777" w:rsidR="00D378B8" w:rsidRPr="009B1D4E" w:rsidRDefault="00D378B8">
            <w:pPr>
              <w:rPr>
                <w:rStyle w:val="StyleArialNarrow"/>
                <w:rFonts w:asciiTheme="majorHAnsi" w:hAnsiTheme="majorHAnsi" w:cstheme="majorHAnsi"/>
                <w:noProof/>
                <w:szCs w:val="18"/>
                <w:lang w:val="fr-FR"/>
              </w:rPr>
            </w:pPr>
          </w:p>
        </w:tc>
      </w:tr>
      <w:tr w:rsidR="00D378B8" w:rsidRPr="009B1D4E" w14:paraId="6BA5F0CD" w14:textId="77777777">
        <w:tc>
          <w:tcPr>
            <w:tcW w:w="5000" w:type="pct"/>
            <w:gridSpan w:val="5"/>
            <w:shd w:val="clear" w:color="auto" w:fill="1073B5"/>
          </w:tcPr>
          <w:p w14:paraId="3FB3B14F" w14:textId="77777777" w:rsidR="00D378B8" w:rsidRPr="009B1D4E" w:rsidRDefault="00F4498B">
            <w:pPr>
              <w:pStyle w:val="P68B1DB1-ListParagraph1"/>
              <w:numPr>
                <w:ilvl w:val="0"/>
                <w:numId w:val="46"/>
              </w:numPr>
              <w:rPr>
                <w:bCs/>
                <w:noProof/>
                <w:szCs w:val="18"/>
                <w:lang w:val="fr-FR"/>
              </w:rPr>
            </w:pPr>
            <w:r w:rsidRPr="009B1D4E">
              <w:rPr>
                <w:noProof/>
                <w:lang w:val="fr-FR"/>
              </w:rPr>
              <w:lastRenderedPageBreak/>
              <w:t>Motifs de l’évaluation</w:t>
            </w:r>
          </w:p>
        </w:tc>
      </w:tr>
      <w:tr w:rsidR="00D378B8" w:rsidRPr="009B1D4E" w14:paraId="2C4B2E27" w14:textId="77777777">
        <w:tc>
          <w:tcPr>
            <w:tcW w:w="1661" w:type="pct"/>
          </w:tcPr>
          <w:p w14:paraId="5813D5CB"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Contenu attendu</w:t>
            </w:r>
          </w:p>
        </w:tc>
        <w:tc>
          <w:tcPr>
            <w:tcW w:w="1596" w:type="pct"/>
            <w:gridSpan w:val="2"/>
          </w:tcPr>
          <w:p w14:paraId="0BFDA730" w14:textId="22EBD933"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570" w:type="pct"/>
          </w:tcPr>
          <w:p w14:paraId="1D039922"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 xml:space="preserve">Critères remplis </w:t>
            </w:r>
          </w:p>
        </w:tc>
        <w:tc>
          <w:tcPr>
            <w:tcW w:w="1173" w:type="pct"/>
          </w:tcPr>
          <w:p w14:paraId="2E1665C6"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Commentaires/statut</w:t>
            </w:r>
          </w:p>
        </w:tc>
      </w:tr>
      <w:tr w:rsidR="00D378B8" w:rsidRPr="009B1D4E" w14:paraId="50AB6D1F" w14:textId="77777777">
        <w:trPr>
          <w:trHeight w:val="70"/>
        </w:trPr>
        <w:tc>
          <w:tcPr>
            <w:tcW w:w="5000" w:type="pct"/>
            <w:gridSpan w:val="5"/>
            <w:shd w:val="clear" w:color="auto" w:fill="FFFFFF" w:themeFill="background1"/>
          </w:tcPr>
          <w:p w14:paraId="5B36641C"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 xml:space="preserve">2.1. Raison d’être </w:t>
            </w:r>
          </w:p>
        </w:tc>
      </w:tr>
      <w:tr w:rsidR="00D378B8" w:rsidRPr="009B1D4E" w14:paraId="236FC557" w14:textId="77777777">
        <w:tc>
          <w:tcPr>
            <w:tcW w:w="1661" w:type="pct"/>
          </w:tcPr>
          <w:p w14:paraId="5B862E21" w14:textId="21D0C431"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Description des raisons qui sous-tendent la demande d’évaluation</w:t>
            </w:r>
            <w:r w:rsidR="009B1D4E">
              <w:rPr>
                <w:rStyle w:val="StyleArialNarrow"/>
                <w:rFonts w:asciiTheme="majorHAnsi" w:hAnsiTheme="majorHAnsi" w:cstheme="majorHAnsi"/>
                <w:noProof/>
                <w:lang w:val="fr-FR"/>
              </w:rPr>
              <w:t>.</w:t>
            </w:r>
          </w:p>
          <w:p w14:paraId="45A48918" w14:textId="61034E69"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Mention des raisons expliquant pourquoi l’évaluation est nécessaire à ce stade</w:t>
            </w:r>
            <w:r w:rsidR="009B1D4E">
              <w:rPr>
                <w:rStyle w:val="StyleArialNarrow"/>
                <w:rFonts w:asciiTheme="majorHAnsi" w:hAnsiTheme="majorHAnsi" w:cstheme="majorHAnsi"/>
                <w:noProof/>
                <w:lang w:val="fr-FR"/>
              </w:rPr>
              <w:t>.</w:t>
            </w:r>
          </w:p>
          <w:p w14:paraId="542C4724" w14:textId="56E3FE5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Précision des modalités d</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utilisation de l</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évaluation par le PAM et les autres parties prenantes, ainsi que du processus décisionnel qu</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elle est censée éclairer</w:t>
            </w:r>
            <w:r w:rsidR="009B1D4E">
              <w:rPr>
                <w:rStyle w:val="StyleArialNarrow"/>
                <w:rFonts w:asciiTheme="majorHAnsi" w:hAnsiTheme="majorHAnsi" w:cstheme="majorHAnsi"/>
                <w:noProof/>
                <w:lang w:val="fr-FR"/>
              </w:rPr>
              <w:t>.</w:t>
            </w:r>
          </w:p>
        </w:tc>
        <w:tc>
          <w:tcPr>
            <w:tcW w:w="1596" w:type="pct"/>
            <w:gridSpan w:val="2"/>
          </w:tcPr>
          <w:p w14:paraId="41B21FB9" w14:textId="77777777" w:rsidR="00D378B8" w:rsidRPr="009B1D4E" w:rsidRDefault="00F4498B">
            <w:pPr>
              <w:pStyle w:val="Bulletlist1"/>
              <w:rPr>
                <w:noProof/>
                <w:lang w:val="fr-FR"/>
              </w:rPr>
            </w:pPr>
            <w:r w:rsidRPr="009B1D4E">
              <w:rPr>
                <w:noProof/>
                <w:lang w:val="fr-FR"/>
              </w:rPr>
              <w:t>Raison d’être claire.</w:t>
            </w:r>
          </w:p>
          <w:p w14:paraId="6977C868" w14:textId="77777777" w:rsidR="00D378B8" w:rsidRPr="009B1D4E" w:rsidRDefault="00F4498B">
            <w:pPr>
              <w:pStyle w:val="Bulletlist1"/>
              <w:rPr>
                <w:noProof/>
                <w:lang w:val="fr-FR"/>
              </w:rPr>
            </w:pPr>
            <w:r w:rsidRPr="009B1D4E">
              <w:rPr>
                <w:noProof/>
                <w:lang w:val="fr-FR"/>
              </w:rPr>
              <w:t>Clarté quant au moment choisi pour l’évaluation afin de répondre aux besoins énoncés dans les processus décisionnels.</w:t>
            </w:r>
          </w:p>
          <w:p w14:paraId="33503392" w14:textId="77777777" w:rsidR="00D378B8" w:rsidRPr="009B1D4E" w:rsidRDefault="00F4498B">
            <w:pPr>
              <w:pStyle w:val="Bulletlist1"/>
              <w:rPr>
                <w:noProof/>
                <w:lang w:val="fr-FR"/>
              </w:rPr>
            </w:pPr>
            <w:r w:rsidRPr="009B1D4E">
              <w:rPr>
                <w:noProof/>
                <w:lang w:val="fr-FR"/>
              </w:rPr>
              <w:t xml:space="preserve">Description de l’utilisation escomptée. </w:t>
            </w:r>
          </w:p>
        </w:tc>
        <w:tc>
          <w:tcPr>
            <w:tcW w:w="570" w:type="pct"/>
          </w:tcPr>
          <w:p w14:paraId="26D73032" w14:textId="77777777" w:rsidR="00D378B8" w:rsidRPr="009B1D4E" w:rsidRDefault="00D378B8">
            <w:pPr>
              <w:rPr>
                <w:rFonts w:asciiTheme="majorHAnsi" w:hAnsiTheme="majorHAnsi" w:cstheme="majorHAnsi"/>
                <w:noProof/>
                <w:szCs w:val="18"/>
                <w:lang w:val="fr-FR"/>
              </w:rPr>
            </w:pPr>
          </w:p>
        </w:tc>
        <w:tc>
          <w:tcPr>
            <w:tcW w:w="1173" w:type="pct"/>
          </w:tcPr>
          <w:p w14:paraId="2860C4EF" w14:textId="77777777" w:rsidR="00D378B8" w:rsidRPr="009B1D4E" w:rsidRDefault="00D378B8">
            <w:pPr>
              <w:rPr>
                <w:rFonts w:asciiTheme="majorHAnsi" w:hAnsiTheme="majorHAnsi" w:cstheme="majorHAnsi"/>
                <w:noProof/>
                <w:szCs w:val="18"/>
                <w:lang w:val="fr-FR"/>
              </w:rPr>
            </w:pPr>
          </w:p>
        </w:tc>
      </w:tr>
      <w:tr w:rsidR="00D378B8" w:rsidRPr="009B1D4E" w14:paraId="19EC134F" w14:textId="77777777">
        <w:tc>
          <w:tcPr>
            <w:tcW w:w="5000" w:type="pct"/>
            <w:gridSpan w:val="5"/>
            <w:shd w:val="clear" w:color="auto" w:fill="FFFFFF" w:themeFill="background1"/>
          </w:tcPr>
          <w:p w14:paraId="11F25D25"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2.2. Objectifs</w:t>
            </w:r>
          </w:p>
        </w:tc>
      </w:tr>
      <w:tr w:rsidR="00D378B8" w:rsidRPr="009B1D4E" w14:paraId="37EA6B6F" w14:textId="77777777">
        <w:trPr>
          <w:trHeight w:val="710"/>
        </w:trPr>
        <w:tc>
          <w:tcPr>
            <w:tcW w:w="1661" w:type="pct"/>
          </w:tcPr>
          <w:p w14:paraId="10AD806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Précision des objectifs de l’évaluation (redevabilité ou apprentissage). </w:t>
            </w:r>
          </w:p>
          <w:p w14:paraId="6B2322C4" w14:textId="5F473BA6"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Indication de si l’on accorde plus d’importance à la redevabilité ou à l’apprentissage. Dans les deux cas, il convient d</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 xml:space="preserve">expliquer pourquoi.  </w:t>
            </w:r>
          </w:p>
          <w:p w14:paraId="3DF99A0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Infirmation ou confirmation de la prise en compte des droits humains et de l’égalité des genres dans un ou plusieurs objectifs de l’évaluation, ou ailleurs dans l’évaluation.</w:t>
            </w:r>
          </w:p>
        </w:tc>
        <w:tc>
          <w:tcPr>
            <w:tcW w:w="1596" w:type="pct"/>
            <w:gridSpan w:val="2"/>
          </w:tcPr>
          <w:p w14:paraId="2B9632A4" w14:textId="77777777" w:rsidR="00D378B8" w:rsidRPr="009B1D4E" w:rsidRDefault="00F4498B">
            <w:pPr>
              <w:pStyle w:val="Bulletlist1"/>
              <w:rPr>
                <w:noProof/>
                <w:lang w:val="fr-FR"/>
              </w:rPr>
            </w:pPr>
            <w:r w:rsidRPr="009B1D4E">
              <w:rPr>
                <w:noProof/>
                <w:lang w:val="fr-FR"/>
              </w:rPr>
              <w:t>Texte standard utilisé et objectifs contextualisés.</w:t>
            </w:r>
          </w:p>
          <w:p w14:paraId="3C219758" w14:textId="77777777" w:rsidR="00D378B8" w:rsidRPr="009B1D4E" w:rsidRDefault="00F4498B">
            <w:pPr>
              <w:pStyle w:val="Bulletlist1"/>
              <w:rPr>
                <w:noProof/>
                <w:lang w:val="fr-FR"/>
              </w:rPr>
            </w:pPr>
            <w:r w:rsidRPr="009B1D4E">
              <w:rPr>
                <w:noProof/>
                <w:lang w:val="fr-FR"/>
              </w:rPr>
              <w:t>Explication claire justifiant la raison pour laquelle l’accent est mis sur la redevabilité ou sur l’apprentissage (le cas échéant).</w:t>
            </w:r>
          </w:p>
          <w:p w14:paraId="0F05787E" w14:textId="77777777" w:rsidR="00D378B8" w:rsidRPr="009B1D4E" w:rsidRDefault="00D378B8" w:rsidP="009B1D4E">
            <w:pPr>
              <w:pStyle w:val="Bulletlist1"/>
              <w:numPr>
                <w:ilvl w:val="0"/>
                <w:numId w:val="0"/>
              </w:numPr>
              <w:ind w:left="720"/>
              <w:rPr>
                <w:noProof/>
                <w:lang w:val="fr-FR"/>
              </w:rPr>
            </w:pPr>
          </w:p>
        </w:tc>
        <w:tc>
          <w:tcPr>
            <w:tcW w:w="570" w:type="pct"/>
          </w:tcPr>
          <w:p w14:paraId="5FEC22C2" w14:textId="77777777" w:rsidR="00D378B8" w:rsidRPr="009B1D4E" w:rsidRDefault="00D378B8">
            <w:pPr>
              <w:rPr>
                <w:rFonts w:asciiTheme="majorHAnsi" w:hAnsiTheme="majorHAnsi" w:cstheme="majorHAnsi"/>
                <w:noProof/>
                <w:szCs w:val="18"/>
                <w:lang w:val="fr-FR"/>
              </w:rPr>
            </w:pPr>
          </w:p>
        </w:tc>
        <w:tc>
          <w:tcPr>
            <w:tcW w:w="1173" w:type="pct"/>
          </w:tcPr>
          <w:p w14:paraId="00FE5408" w14:textId="77777777" w:rsidR="00D378B8" w:rsidRPr="009B1D4E" w:rsidRDefault="00D378B8">
            <w:pPr>
              <w:rPr>
                <w:rFonts w:asciiTheme="majorHAnsi" w:hAnsiTheme="majorHAnsi" w:cstheme="majorHAnsi"/>
                <w:noProof/>
                <w:szCs w:val="18"/>
                <w:lang w:val="fr-FR"/>
              </w:rPr>
            </w:pPr>
          </w:p>
        </w:tc>
      </w:tr>
      <w:tr w:rsidR="00D378B8" w:rsidRPr="009B1D4E" w14:paraId="1E6443C1" w14:textId="77777777">
        <w:tc>
          <w:tcPr>
            <w:tcW w:w="5000" w:type="pct"/>
            <w:gridSpan w:val="5"/>
            <w:shd w:val="clear" w:color="auto" w:fill="FFFFFF" w:themeFill="background1"/>
          </w:tcPr>
          <w:p w14:paraId="37284177"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2.3. Principales parties prenantes</w:t>
            </w:r>
          </w:p>
        </w:tc>
      </w:tr>
      <w:tr w:rsidR="00D378B8" w:rsidRPr="009B1D4E" w14:paraId="23F77927" w14:textId="77777777">
        <w:trPr>
          <w:trHeight w:val="699"/>
        </w:trPr>
        <w:tc>
          <w:tcPr>
            <w:tcW w:w="1661" w:type="pct"/>
            <w:tcBorders>
              <w:top w:val="single" w:sz="4" w:space="0" w:color="auto"/>
              <w:left w:val="single" w:sz="4" w:space="0" w:color="auto"/>
              <w:bottom w:val="single" w:sz="4" w:space="0" w:color="auto"/>
              <w:right w:val="single" w:sz="4" w:space="0" w:color="auto"/>
            </w:tcBorders>
          </w:tcPr>
          <w:p w14:paraId="07880E92"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Identification des principales parties prenantes internes et externes, primaires et secondaires dans le cadre de l’intervention. </w:t>
            </w:r>
          </w:p>
          <w:p w14:paraId="09A3A726"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Analyse des diverses façons dont les </w:t>
            </w:r>
            <w:r w:rsidRPr="009B1D4E">
              <w:rPr>
                <w:rStyle w:val="StyleArialNarrow"/>
                <w:rFonts w:asciiTheme="majorHAnsi" w:hAnsiTheme="majorHAnsi" w:cstheme="majorHAnsi"/>
                <w:noProof/>
                <w:lang w:val="fr-FR"/>
              </w:rPr>
              <w:lastRenderedPageBreak/>
              <w:t xml:space="preserve">différentes parties prenantes sont touchées par l’intervention évaluée (femmes, hommes, filles et garçons issus de différents groupes tels que les bénéficiaires, les responsables de la mise en œuvre, les titulaires de droits et les porteurs d’obligations). </w:t>
            </w:r>
          </w:p>
          <w:p w14:paraId="66500171"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Précision de leurs intérêts escomptés et de leur capacité relative à influencer le processus d’évaluation et les résultats de l’intervention évaluée, ainsi que de l’utilisation qu’elles sont censées faire des résultats de l’évaluation.</w:t>
            </w:r>
          </w:p>
          <w:p w14:paraId="2654457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Mention de la façon dont le point de vue des bénéficiaires (hommes, femmes, garçons et filles) sera recueilli et pris en compte dans le processus d’évaluation, conformément à l’engagement du PAM en faveur de la redevabilité envers les populations touchées. </w:t>
            </w:r>
          </w:p>
        </w:tc>
        <w:tc>
          <w:tcPr>
            <w:tcW w:w="1596" w:type="pct"/>
            <w:gridSpan w:val="2"/>
            <w:tcBorders>
              <w:top w:val="single" w:sz="4" w:space="0" w:color="auto"/>
              <w:left w:val="single" w:sz="4" w:space="0" w:color="auto"/>
              <w:bottom w:val="single" w:sz="4" w:space="0" w:color="auto"/>
              <w:right w:val="single" w:sz="4" w:space="0" w:color="auto"/>
            </w:tcBorders>
          </w:tcPr>
          <w:p w14:paraId="09F8970F" w14:textId="77777777" w:rsidR="00D378B8" w:rsidRPr="009B1D4E" w:rsidRDefault="00F4498B">
            <w:pPr>
              <w:pStyle w:val="Bulletlist1"/>
              <w:rPr>
                <w:noProof/>
                <w:lang w:val="fr-FR"/>
              </w:rPr>
            </w:pPr>
            <w:r w:rsidRPr="009B1D4E">
              <w:rPr>
                <w:noProof/>
                <w:lang w:val="fr-FR"/>
              </w:rPr>
              <w:lastRenderedPageBreak/>
              <w:t>Texte standard suffisamment contextualisé.</w:t>
            </w:r>
          </w:p>
          <w:p w14:paraId="20C7C4DC" w14:textId="77777777" w:rsidR="00D378B8" w:rsidRPr="009B1D4E" w:rsidRDefault="00F4498B">
            <w:pPr>
              <w:pStyle w:val="Bulletlist1"/>
              <w:rPr>
                <w:noProof/>
                <w:lang w:val="fr-FR"/>
              </w:rPr>
            </w:pPr>
            <w:r w:rsidRPr="009B1D4E">
              <w:rPr>
                <w:noProof/>
                <w:lang w:val="fr-FR"/>
              </w:rPr>
              <w:t xml:space="preserve">Identification de toutes les parties prenantes compétentes (internes et externes), démontrant l’impartialité de </w:t>
            </w:r>
            <w:r w:rsidRPr="009B1D4E">
              <w:rPr>
                <w:noProof/>
                <w:lang w:val="fr-FR"/>
              </w:rPr>
              <w:lastRenderedPageBreak/>
              <w:t>l’évaluation.</w:t>
            </w:r>
          </w:p>
          <w:p w14:paraId="2AD7FE6B" w14:textId="77777777" w:rsidR="00D378B8" w:rsidRPr="009B1D4E" w:rsidRDefault="00F4498B">
            <w:pPr>
              <w:pStyle w:val="Bulletlist1"/>
              <w:rPr>
                <w:noProof/>
                <w:lang w:val="fr-FR"/>
              </w:rPr>
            </w:pPr>
            <w:r w:rsidRPr="009B1D4E">
              <w:rPr>
                <w:noProof/>
                <w:lang w:val="fr-FR"/>
              </w:rPr>
              <w:t>Bonne compréhension des intérêts des parties prenantes, de leurs rôles et de leur pouvoir d’influence relatif.</w:t>
            </w:r>
          </w:p>
          <w:p w14:paraId="3B482830" w14:textId="77777777" w:rsidR="00D378B8" w:rsidRPr="009B1D4E" w:rsidRDefault="00F4498B">
            <w:pPr>
              <w:pStyle w:val="Bulletlist1"/>
              <w:rPr>
                <w:noProof/>
                <w:lang w:val="fr-FR"/>
              </w:rPr>
            </w:pPr>
            <w:r w:rsidRPr="009B1D4E">
              <w:rPr>
                <w:noProof/>
                <w:lang w:val="fr-FR"/>
              </w:rPr>
              <w:t>Identification des utilisateurs étroitement liée aux objectifs et à la raison d’être de l’évaluation.</w:t>
            </w:r>
          </w:p>
          <w:p w14:paraId="5A3A80B1" w14:textId="77777777" w:rsidR="00D378B8" w:rsidRPr="009B1D4E" w:rsidRDefault="00F4498B">
            <w:pPr>
              <w:pStyle w:val="Bulletlist1"/>
              <w:rPr>
                <w:noProof/>
                <w:lang w:val="fr-FR"/>
              </w:rPr>
            </w:pPr>
            <w:r w:rsidRPr="009B1D4E">
              <w:rPr>
                <w:noProof/>
                <w:lang w:val="fr-FR"/>
              </w:rPr>
              <w:t>Analyse des parties prenantes tenant compte des questions de genre ainsi que de l’équité et de l’inclusion au sens large.</w:t>
            </w:r>
          </w:p>
          <w:p w14:paraId="1167FC8A" w14:textId="77777777" w:rsidR="00D378B8" w:rsidRPr="009B1D4E" w:rsidRDefault="00F4498B">
            <w:pPr>
              <w:pStyle w:val="Bulletlist1"/>
              <w:rPr>
                <w:noProof/>
                <w:lang w:val="fr-FR"/>
              </w:rPr>
            </w:pPr>
            <w:r w:rsidRPr="009B1D4E">
              <w:rPr>
                <w:noProof/>
                <w:lang w:val="fr-FR"/>
              </w:rPr>
              <w:t>Analyse claire de la façon dont les engagements du PAM en matière de redevabilité envers les populations touchées seront respectés. Cela implique que les bénéficiaires soient identifiés comme parties prenantes et ventilés de façon à traduire leur diversité.</w:t>
            </w:r>
          </w:p>
        </w:tc>
        <w:tc>
          <w:tcPr>
            <w:tcW w:w="570" w:type="pct"/>
            <w:tcBorders>
              <w:top w:val="single" w:sz="4" w:space="0" w:color="auto"/>
              <w:left w:val="single" w:sz="4" w:space="0" w:color="auto"/>
              <w:bottom w:val="single" w:sz="4" w:space="0" w:color="auto"/>
              <w:right w:val="single" w:sz="4" w:space="0" w:color="auto"/>
            </w:tcBorders>
          </w:tcPr>
          <w:p w14:paraId="5D5005BC" w14:textId="77777777" w:rsidR="00D378B8" w:rsidRPr="009B1D4E" w:rsidRDefault="00D378B8">
            <w:pPr>
              <w:rPr>
                <w:rFonts w:asciiTheme="majorHAnsi" w:hAnsiTheme="majorHAnsi" w:cstheme="majorHAnsi"/>
                <w:noProof/>
                <w:szCs w:val="18"/>
                <w:lang w:val="fr-FR"/>
              </w:rPr>
            </w:pPr>
          </w:p>
        </w:tc>
        <w:tc>
          <w:tcPr>
            <w:tcW w:w="1173" w:type="pct"/>
            <w:tcBorders>
              <w:top w:val="single" w:sz="4" w:space="0" w:color="auto"/>
              <w:left w:val="single" w:sz="4" w:space="0" w:color="auto"/>
              <w:bottom w:val="single" w:sz="4" w:space="0" w:color="auto"/>
              <w:right w:val="single" w:sz="4" w:space="0" w:color="auto"/>
            </w:tcBorders>
          </w:tcPr>
          <w:p w14:paraId="61F8E1B3" w14:textId="77777777" w:rsidR="00D378B8" w:rsidRPr="009B1D4E" w:rsidRDefault="00D378B8">
            <w:pPr>
              <w:rPr>
                <w:rFonts w:asciiTheme="majorHAnsi" w:hAnsiTheme="majorHAnsi" w:cstheme="majorHAnsi"/>
                <w:noProof/>
                <w:szCs w:val="18"/>
                <w:lang w:val="fr-FR"/>
              </w:rPr>
            </w:pPr>
          </w:p>
        </w:tc>
      </w:tr>
    </w:tbl>
    <w:tbl>
      <w:tblPr>
        <w:tblpPr w:leftFromText="180" w:rightFromText="180" w:vertAnchor="text" w:horzAnchor="page" w:tblpX="1439" w:tblpY="41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661"/>
        <w:gridCol w:w="4976"/>
        <w:gridCol w:w="1697"/>
        <w:gridCol w:w="14"/>
        <w:gridCol w:w="2607"/>
      </w:tblGrid>
      <w:tr w:rsidR="00D378B8" w:rsidRPr="009B1D4E" w14:paraId="6EFDF3DF" w14:textId="77777777">
        <w:trPr>
          <w:trHeight w:val="272"/>
        </w:trPr>
        <w:tc>
          <w:tcPr>
            <w:tcW w:w="5000" w:type="pct"/>
            <w:gridSpan w:val="5"/>
            <w:shd w:val="clear" w:color="auto" w:fill="1073B5"/>
          </w:tcPr>
          <w:p w14:paraId="67EFA0F0" w14:textId="77777777" w:rsidR="00D378B8" w:rsidRPr="009B1D4E" w:rsidRDefault="00F4498B">
            <w:pPr>
              <w:rPr>
                <w:rFonts w:asciiTheme="majorHAnsi" w:hAnsiTheme="majorHAnsi" w:cstheme="majorHAnsi"/>
                <w:noProof/>
                <w:szCs w:val="18"/>
                <w:lang w:val="fr-FR"/>
              </w:rPr>
            </w:pPr>
            <w:r w:rsidRPr="009B1D4E">
              <w:rPr>
                <w:rStyle w:val="StyleArialNarrow"/>
                <w:rFonts w:asciiTheme="majorHAnsi" w:hAnsiTheme="majorHAnsi" w:cstheme="majorHAnsi"/>
                <w:b/>
                <w:noProof/>
                <w:color w:val="FFFFFF" w:themeColor="background1"/>
                <w:lang w:val="fr-FR"/>
              </w:rPr>
              <w:t>3. Contexte et objet de l’évaluation</w:t>
            </w:r>
          </w:p>
        </w:tc>
      </w:tr>
      <w:tr w:rsidR="00D378B8" w:rsidRPr="009B1D4E" w14:paraId="74652AED" w14:textId="77777777">
        <w:trPr>
          <w:trHeight w:val="419"/>
        </w:trPr>
        <w:tc>
          <w:tcPr>
            <w:tcW w:w="1670" w:type="pct"/>
            <w:vAlign w:val="center"/>
          </w:tcPr>
          <w:p w14:paraId="1F81A64D" w14:textId="77777777" w:rsidR="00D378B8" w:rsidRPr="009B1D4E" w:rsidRDefault="00F4498B">
            <w:pPr>
              <w:rPr>
                <w:rFonts w:asciiTheme="majorHAnsi" w:hAnsiTheme="majorHAnsi" w:cstheme="majorHAnsi"/>
                <w:noProof/>
                <w:szCs w:val="18"/>
                <w:lang w:val="fr-FR"/>
              </w:rPr>
            </w:pPr>
            <w:r w:rsidRPr="009B1D4E">
              <w:rPr>
                <w:rStyle w:val="StyleArialNarrow"/>
                <w:rFonts w:asciiTheme="majorHAnsi" w:hAnsiTheme="majorHAnsi" w:cstheme="majorHAnsi"/>
                <w:b/>
                <w:noProof/>
                <w:lang w:val="fr-FR"/>
              </w:rPr>
              <w:t>Contenu attendu</w:t>
            </w:r>
          </w:p>
        </w:tc>
        <w:tc>
          <w:tcPr>
            <w:tcW w:w="1783" w:type="pct"/>
            <w:vAlign w:val="center"/>
          </w:tcPr>
          <w:p w14:paraId="4BD5AE37" w14:textId="7C7D5AFF" w:rsidR="00D378B8" w:rsidRPr="009B1D4E" w:rsidRDefault="00F4498B">
            <w:pPr>
              <w:rPr>
                <w:rFonts w:asciiTheme="majorHAnsi" w:hAnsiTheme="majorHAnsi" w:cstheme="majorHAnsi"/>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613" w:type="pct"/>
            <w:gridSpan w:val="2"/>
            <w:vAlign w:val="center"/>
          </w:tcPr>
          <w:p w14:paraId="5F895071"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934" w:type="pct"/>
            <w:vAlign w:val="center"/>
          </w:tcPr>
          <w:p w14:paraId="31DFDE70"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Commentaires/statut</w:t>
            </w:r>
          </w:p>
        </w:tc>
      </w:tr>
      <w:tr w:rsidR="00D378B8" w:rsidRPr="009B1D4E" w14:paraId="18F9C723" w14:textId="77777777">
        <w:trPr>
          <w:trHeight w:val="422"/>
        </w:trPr>
        <w:tc>
          <w:tcPr>
            <w:tcW w:w="5000" w:type="pct"/>
            <w:gridSpan w:val="5"/>
            <w:shd w:val="clear" w:color="auto" w:fill="FFFFFF" w:themeFill="background1"/>
            <w:vAlign w:val="center"/>
          </w:tcPr>
          <w:p w14:paraId="682CC7CC"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t>3.1. Contexte</w:t>
            </w:r>
          </w:p>
        </w:tc>
      </w:tr>
      <w:tr w:rsidR="00D378B8" w:rsidRPr="009B1D4E" w14:paraId="614680FD" w14:textId="77777777">
        <w:trPr>
          <w:trHeight w:val="419"/>
        </w:trPr>
        <w:tc>
          <w:tcPr>
            <w:tcW w:w="1670" w:type="pct"/>
          </w:tcPr>
          <w:p w14:paraId="41593E04" w14:textId="77777777" w:rsidR="00D378B8" w:rsidRPr="009B1D4E" w:rsidRDefault="00F4498B">
            <w:pPr>
              <w:pStyle w:val="Bulletlist1"/>
              <w:rPr>
                <w:noProof/>
                <w:lang w:val="fr-FR"/>
              </w:rPr>
            </w:pPr>
            <w:r w:rsidRPr="009B1D4E">
              <w:rPr>
                <w:noProof/>
                <w:lang w:val="fr-FR"/>
              </w:rPr>
              <w:t>Des informations sur le contexte dans lequel l’objet de l’évaluation a été mis en œuvre sont incluses, notamment:</w:t>
            </w:r>
          </w:p>
          <w:p w14:paraId="17ACF10E" w14:textId="77777777" w:rsidR="00D378B8" w:rsidRPr="009B1D4E" w:rsidRDefault="00F4498B">
            <w:pPr>
              <w:pStyle w:val="Bulletlist1"/>
              <w:rPr>
                <w:noProof/>
                <w:lang w:val="fr-FR"/>
              </w:rPr>
            </w:pPr>
            <w:r w:rsidRPr="009B1D4E">
              <w:rPr>
                <w:noProof/>
                <w:lang w:val="fr-FR"/>
              </w:rPr>
              <w:t>La pauvreté, ainsi que la sécurité alimentaire et nutritionnelle au regard de l’objet de l’évaluation;</w:t>
            </w:r>
          </w:p>
          <w:p w14:paraId="60A85224" w14:textId="77777777" w:rsidR="00D378B8" w:rsidRPr="009B1D4E" w:rsidRDefault="00F4498B">
            <w:pPr>
              <w:pStyle w:val="Bulletlist1"/>
              <w:rPr>
                <w:noProof/>
                <w:lang w:val="fr-FR"/>
              </w:rPr>
            </w:pPr>
            <w:r w:rsidRPr="009B1D4E">
              <w:rPr>
                <w:noProof/>
                <w:lang w:val="fr-FR"/>
              </w:rPr>
              <w:t>Des données et tendances clés relatives aux objectifs de développement durable n</w:t>
            </w:r>
            <w:r w:rsidRPr="009B1D4E">
              <w:rPr>
                <w:noProof/>
                <w:vertAlign w:val="superscript"/>
                <w:lang w:val="fr-FR"/>
              </w:rPr>
              <w:t>o</w:t>
            </w:r>
            <w:r w:rsidRPr="009B1D4E">
              <w:rPr>
                <w:noProof/>
                <w:lang w:val="fr-FR"/>
              </w:rPr>
              <w:t xml:space="preserve"> 2 et </w:t>
            </w:r>
            <w:r w:rsidRPr="009B1D4E">
              <w:rPr>
                <w:noProof/>
                <w:lang w:val="fr-FR"/>
              </w:rPr>
              <w:lastRenderedPageBreak/>
              <w:t>n</w:t>
            </w:r>
            <w:r w:rsidRPr="009B1D4E">
              <w:rPr>
                <w:noProof/>
                <w:vertAlign w:val="superscript"/>
                <w:lang w:val="fr-FR"/>
              </w:rPr>
              <w:t>o</w:t>
            </w:r>
            <w:r w:rsidRPr="009B1D4E">
              <w:rPr>
                <w:noProof/>
                <w:lang w:val="fr-FR"/>
              </w:rPr>
              <w:t> 17 dans le contexte (niveau régional, national ou infranational/local);</w:t>
            </w:r>
          </w:p>
          <w:p w14:paraId="346427CA" w14:textId="77777777" w:rsidR="00D378B8" w:rsidRPr="009B1D4E" w:rsidRDefault="00F4498B">
            <w:pPr>
              <w:pStyle w:val="Bulletlist1"/>
              <w:rPr>
                <w:noProof/>
                <w:lang w:val="fr-FR"/>
              </w:rPr>
            </w:pPr>
            <w:r w:rsidRPr="009B1D4E">
              <w:rPr>
                <w:noProof/>
                <w:lang w:val="fr-FR"/>
              </w:rPr>
              <w:t>Les politiques, les priorités et les capacités institutionnelles des pouvoirs publics au regard de l’objet de l’évaluation, notamment leur caractère propice ou non à la promotion des droits humains, de l’égalité des genres, de l’autonomisation des femmes et de l’équité au sens large;</w:t>
            </w:r>
          </w:p>
          <w:p w14:paraId="01573BC4" w14:textId="77777777" w:rsidR="00D378B8" w:rsidRPr="009B1D4E" w:rsidRDefault="00F4498B">
            <w:pPr>
              <w:pStyle w:val="Bulletlist1"/>
              <w:rPr>
                <w:noProof/>
                <w:lang w:val="fr-FR"/>
              </w:rPr>
            </w:pPr>
            <w:r w:rsidRPr="009B1D4E">
              <w:rPr>
                <w:noProof/>
                <w:lang w:val="fr-FR"/>
              </w:rPr>
              <w:t>Les problématiques humanitaires en lien avec la sécurité alimentaire et l’objet de l’évaluation, y compris les programmes de protection sociale, les schémas de migration et les tensions sociales/au sein des communautés d’accueil;</w:t>
            </w:r>
          </w:p>
          <w:p w14:paraId="0A9C7758" w14:textId="77777777" w:rsidR="00D378B8" w:rsidRPr="009B1D4E" w:rsidRDefault="00F4498B">
            <w:pPr>
              <w:pStyle w:val="Bulletlist1"/>
              <w:rPr>
                <w:noProof/>
                <w:lang w:val="fr-FR"/>
              </w:rPr>
            </w:pPr>
            <w:r w:rsidRPr="009B1D4E">
              <w:rPr>
                <w:noProof/>
                <w:lang w:val="fr-FR"/>
              </w:rPr>
              <w:t>Les dimensions du contexte liées à l’égalité des genres et l’autonomisation des femmes, l’équité et l’inclusion au sens large, en lien avec le domaine programmatique de l’intervention;</w:t>
            </w:r>
          </w:p>
          <w:p w14:paraId="2F9B13BB" w14:textId="77777777" w:rsidR="00D378B8" w:rsidRPr="009B1D4E" w:rsidRDefault="00F4498B">
            <w:pPr>
              <w:pStyle w:val="Bulletlist1"/>
              <w:rPr>
                <w:noProof/>
                <w:lang w:val="fr-FR"/>
              </w:rPr>
            </w:pPr>
            <w:r w:rsidRPr="009B1D4E">
              <w:rPr>
                <w:noProof/>
                <w:lang w:val="fr-FR"/>
              </w:rPr>
              <w:t>Les différentes formes d’aide internationale d’autres acteurs dans la région (donateurs de longue date et organismes présents depuis longtemps dans le pays, niveaux de ressources, aide humanitaire et au développement, etc.);</w:t>
            </w:r>
          </w:p>
          <w:p w14:paraId="6B50CB14" w14:textId="77777777" w:rsidR="00D378B8" w:rsidRPr="009B1D4E" w:rsidRDefault="00F4498B">
            <w:pPr>
              <w:pStyle w:val="Bulletlist1"/>
              <w:rPr>
                <w:noProof/>
                <w:lang w:val="fr-FR"/>
              </w:rPr>
            </w:pPr>
            <w:r w:rsidRPr="009B1D4E">
              <w:rPr>
                <w:noProof/>
                <w:lang w:val="fr-FR"/>
              </w:rPr>
              <w:t>Tout événement extérieur majeur ayant engendré des changements importants dans les activités du PAM;</w:t>
            </w:r>
          </w:p>
          <w:p w14:paraId="28FFA9E9" w14:textId="77777777" w:rsidR="00D378B8" w:rsidRPr="00A178D5" w:rsidRDefault="00F4498B">
            <w:pPr>
              <w:pStyle w:val="Bulletlist1"/>
              <w:rPr>
                <w:rFonts w:asciiTheme="majorHAnsi" w:hAnsiTheme="majorHAnsi" w:cstheme="majorHAnsi"/>
                <w:noProof/>
                <w:szCs w:val="18"/>
                <w:lang w:val="fr-FR"/>
              </w:rPr>
            </w:pPr>
            <w:r w:rsidRPr="009B1D4E">
              <w:rPr>
                <w:noProof/>
                <w:lang w:val="fr-FR"/>
              </w:rPr>
              <w:t xml:space="preserve">Autres activités du PAM dans la région. </w:t>
            </w:r>
          </w:p>
          <w:p w14:paraId="16BC9222" w14:textId="77777777" w:rsidR="00A178D5" w:rsidRDefault="00A178D5" w:rsidP="00A178D5">
            <w:pPr>
              <w:pStyle w:val="Bulletlist1"/>
              <w:numPr>
                <w:ilvl w:val="0"/>
                <w:numId w:val="0"/>
              </w:numPr>
              <w:ind w:left="720" w:hanging="360"/>
            </w:pPr>
          </w:p>
          <w:p w14:paraId="1402BEAD" w14:textId="77777777" w:rsidR="00A178D5" w:rsidRDefault="00A178D5" w:rsidP="00A178D5">
            <w:pPr>
              <w:pStyle w:val="Bulletlist1"/>
              <w:numPr>
                <w:ilvl w:val="0"/>
                <w:numId w:val="0"/>
              </w:numPr>
              <w:ind w:left="720" w:hanging="360"/>
            </w:pPr>
          </w:p>
          <w:p w14:paraId="31181DCB" w14:textId="77777777" w:rsidR="00A178D5" w:rsidRDefault="00A178D5" w:rsidP="00A178D5">
            <w:pPr>
              <w:pStyle w:val="Bulletlist1"/>
              <w:numPr>
                <w:ilvl w:val="0"/>
                <w:numId w:val="0"/>
              </w:numPr>
              <w:ind w:left="720" w:hanging="360"/>
            </w:pPr>
          </w:p>
          <w:p w14:paraId="60157D52" w14:textId="77777777" w:rsidR="00A178D5" w:rsidRDefault="00A178D5" w:rsidP="00A178D5">
            <w:pPr>
              <w:pStyle w:val="Bulletlist1"/>
              <w:numPr>
                <w:ilvl w:val="0"/>
                <w:numId w:val="0"/>
              </w:numPr>
              <w:ind w:left="720" w:hanging="360"/>
            </w:pPr>
          </w:p>
          <w:p w14:paraId="42C5A9F3" w14:textId="77777777" w:rsidR="00A178D5" w:rsidRDefault="00A178D5" w:rsidP="00A178D5">
            <w:pPr>
              <w:pStyle w:val="Bulletlist1"/>
              <w:numPr>
                <w:ilvl w:val="0"/>
                <w:numId w:val="0"/>
              </w:numPr>
              <w:ind w:left="720" w:hanging="360"/>
            </w:pPr>
          </w:p>
          <w:p w14:paraId="158BB42B" w14:textId="77777777" w:rsidR="00A178D5" w:rsidRPr="009B1D4E" w:rsidRDefault="00A178D5" w:rsidP="00A178D5">
            <w:pPr>
              <w:pStyle w:val="Bulletlist1"/>
              <w:numPr>
                <w:ilvl w:val="0"/>
                <w:numId w:val="0"/>
              </w:numPr>
              <w:ind w:left="720" w:hanging="360"/>
              <w:rPr>
                <w:rStyle w:val="StyleArialNarrow"/>
                <w:rFonts w:asciiTheme="majorHAnsi" w:hAnsiTheme="majorHAnsi" w:cstheme="majorHAnsi"/>
                <w:noProof/>
                <w:szCs w:val="18"/>
                <w:lang w:val="fr-FR"/>
              </w:rPr>
            </w:pPr>
          </w:p>
        </w:tc>
        <w:tc>
          <w:tcPr>
            <w:tcW w:w="1783" w:type="pct"/>
          </w:tcPr>
          <w:p w14:paraId="2B8B9516" w14:textId="64386F6A" w:rsidR="00D378B8" w:rsidRPr="009B1D4E" w:rsidRDefault="00F4498B">
            <w:pPr>
              <w:pStyle w:val="P68B1DB1-Bulletlist12"/>
              <w:rPr>
                <w:noProof/>
                <w:lang w:val="fr-FR"/>
              </w:rPr>
            </w:pPr>
            <w:r w:rsidRPr="009B1D4E">
              <w:rPr>
                <w:noProof/>
                <w:lang w:val="fr-FR"/>
              </w:rPr>
              <w:lastRenderedPageBreak/>
              <w:t>Les informations contextuelles sont ciblées, concises et permettent de comprendre dans quel contexte s</w:t>
            </w:r>
            <w:r w:rsidR="009B1D4E" w:rsidRPr="009B1D4E">
              <w:rPr>
                <w:noProof/>
                <w:lang w:val="fr-FR"/>
              </w:rPr>
              <w:t>’</w:t>
            </w:r>
            <w:r w:rsidRPr="009B1D4E">
              <w:rPr>
                <w:noProof/>
                <w:lang w:val="fr-FR"/>
              </w:rPr>
              <w:t>inscrit l</w:t>
            </w:r>
            <w:r w:rsidR="009B1D4E" w:rsidRPr="009B1D4E">
              <w:rPr>
                <w:noProof/>
                <w:lang w:val="fr-FR"/>
              </w:rPr>
              <w:t>’</w:t>
            </w:r>
            <w:r w:rsidRPr="009B1D4E">
              <w:rPr>
                <w:noProof/>
                <w:lang w:val="fr-FR"/>
              </w:rPr>
              <w:t>objet de l</w:t>
            </w:r>
            <w:r w:rsidR="009B1D4E" w:rsidRPr="009B1D4E">
              <w:rPr>
                <w:noProof/>
                <w:lang w:val="fr-FR"/>
              </w:rPr>
              <w:t>’</w:t>
            </w:r>
            <w:r w:rsidRPr="009B1D4E">
              <w:rPr>
                <w:noProof/>
                <w:lang w:val="fr-FR"/>
              </w:rPr>
              <w:t>évaluation.</w:t>
            </w:r>
          </w:p>
          <w:p w14:paraId="24E34110" w14:textId="77777777" w:rsidR="00D378B8" w:rsidRPr="009B1D4E" w:rsidRDefault="00F4498B">
            <w:pPr>
              <w:pStyle w:val="P68B1DB1-Bulletlist12"/>
              <w:rPr>
                <w:noProof/>
                <w:lang w:val="fr-FR"/>
              </w:rPr>
            </w:pPr>
            <w:r w:rsidRPr="009B1D4E">
              <w:rPr>
                <w:noProof/>
                <w:lang w:val="fr-FR"/>
              </w:rPr>
              <w:t xml:space="preserve">Cette section est axée sur les données relatives aux tendances, en droite ligne du champ d’application de l’évaluation. </w:t>
            </w:r>
          </w:p>
          <w:p w14:paraId="3D43D502" w14:textId="37E40918" w:rsidR="00D378B8" w:rsidRPr="009B1D4E" w:rsidRDefault="00F4498B">
            <w:pPr>
              <w:pStyle w:val="P68B1DB1-Bulletlist12"/>
              <w:rPr>
                <w:noProof/>
                <w:lang w:val="fr-FR"/>
              </w:rPr>
            </w:pPr>
            <w:r w:rsidRPr="009B1D4E">
              <w:rPr>
                <w:noProof/>
                <w:lang w:val="fr-FR"/>
              </w:rPr>
              <w:t>Les données ne sont pas simplement livrées telles quelles, mais font l</w:t>
            </w:r>
            <w:r w:rsidR="009B1D4E" w:rsidRPr="009B1D4E">
              <w:rPr>
                <w:noProof/>
                <w:lang w:val="fr-FR"/>
              </w:rPr>
              <w:t>’</w:t>
            </w:r>
            <w:r w:rsidRPr="009B1D4E">
              <w:rPr>
                <w:noProof/>
                <w:lang w:val="fr-FR"/>
              </w:rPr>
              <w:t>objet d</w:t>
            </w:r>
            <w:r w:rsidR="009B1D4E" w:rsidRPr="009B1D4E">
              <w:rPr>
                <w:noProof/>
                <w:lang w:val="fr-FR"/>
              </w:rPr>
              <w:t>’</w:t>
            </w:r>
            <w:r w:rsidRPr="009B1D4E">
              <w:rPr>
                <w:noProof/>
                <w:lang w:val="fr-FR"/>
              </w:rPr>
              <w:t>une explication.</w:t>
            </w:r>
          </w:p>
          <w:p w14:paraId="6E4F9187" w14:textId="77777777" w:rsidR="00D378B8" w:rsidRPr="009B1D4E" w:rsidRDefault="00F4498B">
            <w:pPr>
              <w:pStyle w:val="P68B1DB1-Bulletlist12"/>
              <w:rPr>
                <w:noProof/>
                <w:lang w:val="fr-FR"/>
              </w:rPr>
            </w:pPr>
            <w:r w:rsidRPr="009B1D4E">
              <w:rPr>
                <w:noProof/>
                <w:lang w:val="fr-FR"/>
              </w:rPr>
              <w:lastRenderedPageBreak/>
              <w:t>Cette section analyse le contexte dans une optique d’égalité des genres et d’autonomisation des femmes, d’équité et d’inclusion.</w:t>
            </w:r>
          </w:p>
          <w:p w14:paraId="7D8EE625" w14:textId="77777777" w:rsidR="00D378B8" w:rsidRPr="009B1D4E" w:rsidRDefault="00D378B8" w:rsidP="00A178D5">
            <w:pPr>
              <w:pStyle w:val="Bulletlist1"/>
              <w:numPr>
                <w:ilvl w:val="0"/>
                <w:numId w:val="0"/>
              </w:numPr>
              <w:ind w:left="720"/>
              <w:rPr>
                <w:rStyle w:val="StyleArialNarrow"/>
                <w:rFonts w:asciiTheme="majorHAnsi" w:hAnsiTheme="majorHAnsi" w:cstheme="majorHAnsi"/>
                <w:b/>
                <w:noProof/>
                <w:szCs w:val="18"/>
                <w:lang w:val="fr-FR"/>
              </w:rPr>
            </w:pPr>
          </w:p>
        </w:tc>
        <w:tc>
          <w:tcPr>
            <w:tcW w:w="613" w:type="pct"/>
            <w:gridSpan w:val="2"/>
            <w:vAlign w:val="center"/>
          </w:tcPr>
          <w:p w14:paraId="6E200E41" w14:textId="77777777" w:rsidR="00D378B8" w:rsidRPr="009B1D4E" w:rsidRDefault="00D378B8">
            <w:pPr>
              <w:rPr>
                <w:rStyle w:val="StyleArialNarrow"/>
                <w:rFonts w:asciiTheme="majorHAnsi" w:hAnsiTheme="majorHAnsi" w:cstheme="majorHAnsi"/>
                <w:b/>
                <w:noProof/>
                <w:szCs w:val="18"/>
                <w:lang w:val="fr-FR"/>
              </w:rPr>
            </w:pPr>
          </w:p>
        </w:tc>
        <w:tc>
          <w:tcPr>
            <w:tcW w:w="934" w:type="pct"/>
            <w:vAlign w:val="center"/>
          </w:tcPr>
          <w:p w14:paraId="5ECFB458" w14:textId="77777777" w:rsidR="00D378B8" w:rsidRPr="009B1D4E" w:rsidRDefault="00D378B8">
            <w:pPr>
              <w:rPr>
                <w:rStyle w:val="StyleArialNarrow"/>
                <w:rFonts w:asciiTheme="majorHAnsi" w:hAnsiTheme="majorHAnsi" w:cstheme="majorHAnsi"/>
                <w:b/>
                <w:noProof/>
                <w:szCs w:val="18"/>
                <w:lang w:val="fr-FR"/>
              </w:rPr>
            </w:pPr>
          </w:p>
        </w:tc>
      </w:tr>
      <w:tr w:rsidR="00D378B8" w:rsidRPr="009B1D4E" w14:paraId="740D7B68" w14:textId="77777777">
        <w:trPr>
          <w:trHeight w:val="422"/>
        </w:trPr>
        <w:tc>
          <w:tcPr>
            <w:tcW w:w="5000" w:type="pct"/>
            <w:gridSpan w:val="5"/>
            <w:shd w:val="clear" w:color="auto" w:fill="FFFFFF" w:themeFill="background1"/>
            <w:vAlign w:val="center"/>
          </w:tcPr>
          <w:p w14:paraId="68CF4EC3"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lastRenderedPageBreak/>
              <w:t>3.2. Objet de l’évaluation</w:t>
            </w:r>
          </w:p>
        </w:tc>
      </w:tr>
      <w:tr w:rsidR="00D378B8" w:rsidRPr="009B1D4E" w14:paraId="327CAB35" w14:textId="77777777">
        <w:trPr>
          <w:trHeight w:val="1170"/>
        </w:trPr>
        <w:tc>
          <w:tcPr>
            <w:tcW w:w="1670" w:type="pct"/>
          </w:tcPr>
          <w:p w14:paraId="44444C8D" w14:textId="0A5FAC41"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Cette section présente brièvement le contexte dans lequel s</w:t>
            </w:r>
            <w:r w:rsidR="009B1D4E" w:rsidRPr="009B1D4E">
              <w:rPr>
                <w:noProof/>
                <w:lang w:val="fr-FR"/>
              </w:rPr>
              <w:t>’</w:t>
            </w:r>
            <w:r w:rsidRPr="009B1D4E">
              <w:rPr>
                <w:noProof/>
                <w:lang w:val="fr-FR"/>
              </w:rPr>
              <w:t>inscrit l’objet de l</w:t>
            </w:r>
            <w:r w:rsidR="009B1D4E" w:rsidRPr="009B1D4E">
              <w:rPr>
                <w:noProof/>
                <w:lang w:val="fr-FR"/>
              </w:rPr>
              <w:t>’</w:t>
            </w:r>
            <w:r w:rsidRPr="009B1D4E">
              <w:rPr>
                <w:noProof/>
                <w:lang w:val="fr-FR"/>
              </w:rPr>
              <w:t>évaluation et doit inclure des informations telles que:</w:t>
            </w:r>
          </w:p>
          <w:p w14:paraId="0B399C29" w14:textId="62A436B0" w:rsidR="00D378B8" w:rsidRPr="009B1D4E" w:rsidRDefault="00F4498B">
            <w:pPr>
              <w:pStyle w:val="Bulletlist1"/>
              <w:rPr>
                <w:noProof/>
                <w:lang w:val="fr-FR"/>
              </w:rPr>
            </w:pPr>
            <w:r w:rsidRPr="009B1D4E">
              <w:rPr>
                <w:rStyle w:val="StyleArialNarrow"/>
                <w:rFonts w:asciiTheme="majorHAnsi" w:hAnsiTheme="majorHAnsi" w:cstheme="majorHAnsi"/>
                <w:noProof/>
                <w:lang w:val="fr-FR"/>
              </w:rPr>
              <w:t>Le type d’intervention/de programme (activité, domaine thématique, modalité de transfert, projet pilote/autre objet de l</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évaluation);</w:t>
            </w:r>
          </w:p>
          <w:p w14:paraId="3C2889B1" w14:textId="77777777" w:rsidR="00D378B8" w:rsidRPr="009B1D4E" w:rsidRDefault="00F4498B">
            <w:pPr>
              <w:pStyle w:val="Bulletlist1"/>
              <w:rPr>
                <w:noProof/>
                <w:lang w:val="fr-FR"/>
              </w:rPr>
            </w:pPr>
            <w:r w:rsidRPr="009B1D4E">
              <w:rPr>
                <w:noProof/>
                <w:lang w:val="fr-FR"/>
              </w:rPr>
              <w:t xml:space="preserve">La portée géographique de l’objet de l’évaluation (y compris la carte en annexe); </w:t>
            </w:r>
          </w:p>
          <w:p w14:paraId="7A371900" w14:textId="77777777" w:rsidR="00D378B8" w:rsidRPr="009B1D4E" w:rsidRDefault="00F4498B">
            <w:pPr>
              <w:pStyle w:val="Bulletlist1"/>
              <w:rPr>
                <w:noProof/>
                <w:lang w:val="fr-FR"/>
              </w:rPr>
            </w:pPr>
            <w:r w:rsidRPr="009B1D4E">
              <w:rPr>
                <w:noProof/>
                <w:lang w:val="fr-FR"/>
              </w:rPr>
              <w:t>Les dates importantes (validation, début, fin prévue de l’objet de l’évaluation);</w:t>
            </w:r>
          </w:p>
          <w:p w14:paraId="2EC6FCB4" w14:textId="6D8EE351" w:rsidR="00D378B8" w:rsidRPr="009B1D4E" w:rsidRDefault="00F4498B">
            <w:pPr>
              <w:pStyle w:val="Bulletlist1"/>
              <w:rPr>
                <w:noProof/>
                <w:lang w:val="fr-FR"/>
              </w:rPr>
            </w:pPr>
            <w:r w:rsidRPr="009B1D4E">
              <w:rPr>
                <w:noProof/>
                <w:lang w:val="fr-FR"/>
              </w:rPr>
              <w:t xml:space="preserve">Les principaux partenaires (pouvoirs publics, </w:t>
            </w:r>
            <w:r w:rsidR="00A178D5">
              <w:rPr>
                <w:noProof/>
                <w:lang w:val="fr-FR"/>
              </w:rPr>
              <w:t>o</w:t>
            </w:r>
            <w:r w:rsidR="00A178D5" w:rsidRPr="00A178D5">
              <w:rPr>
                <w:lang w:val="fr-FR"/>
              </w:rPr>
              <w:t>rganisations non gouvernementales</w:t>
            </w:r>
            <w:r w:rsidRPr="009B1D4E">
              <w:rPr>
                <w:noProof/>
                <w:lang w:val="fr-FR"/>
              </w:rPr>
              <w:t>, partenaires bilatéraux, partenaires multilatéraux);</w:t>
            </w:r>
          </w:p>
          <w:p w14:paraId="22D947DB" w14:textId="77777777" w:rsidR="00D378B8" w:rsidRPr="009B1D4E" w:rsidRDefault="00F4498B">
            <w:pPr>
              <w:pStyle w:val="Bulletlist1"/>
              <w:rPr>
                <w:noProof/>
                <w:lang w:val="fr-FR"/>
              </w:rPr>
            </w:pPr>
            <w:r w:rsidRPr="009B1D4E">
              <w:rPr>
                <w:noProof/>
                <w:lang w:val="fr-FR"/>
              </w:rPr>
              <w:t>Les produits prévus, notamment les bénéficiaires attendus et réels par activité/composante, ventilés par sexe, âge et montant des transferts (alimentaires, monétaires, en bons);</w:t>
            </w:r>
          </w:p>
          <w:p w14:paraId="04A65476" w14:textId="47D72EFC" w:rsidR="00D378B8" w:rsidRPr="009B1D4E" w:rsidRDefault="00F4498B">
            <w:pPr>
              <w:pStyle w:val="Bulletlist1"/>
              <w:rPr>
                <w:noProof/>
                <w:lang w:val="fr-FR"/>
              </w:rPr>
            </w:pPr>
            <w:r w:rsidRPr="009B1D4E">
              <w:rPr>
                <w:noProof/>
                <w:lang w:val="fr-FR"/>
              </w:rPr>
              <w:t>Les résultats prévus par le cadre de l</w:t>
            </w:r>
            <w:r w:rsidR="009B1D4E" w:rsidRPr="009B1D4E">
              <w:rPr>
                <w:noProof/>
                <w:lang w:val="fr-FR"/>
              </w:rPr>
              <w:t>’</w:t>
            </w:r>
            <w:r w:rsidRPr="009B1D4E">
              <w:rPr>
                <w:noProof/>
                <w:lang w:val="fr-FR"/>
              </w:rPr>
              <w:t xml:space="preserve">évaluation; </w:t>
            </w:r>
          </w:p>
          <w:p w14:paraId="7C02D34F" w14:textId="77777777" w:rsidR="00D378B8" w:rsidRPr="009B1D4E" w:rsidRDefault="00F4498B">
            <w:pPr>
              <w:pStyle w:val="Bulletlist1"/>
              <w:rPr>
                <w:noProof/>
                <w:lang w:val="fr-FR"/>
              </w:rPr>
            </w:pPr>
            <w:r w:rsidRPr="009B1D4E">
              <w:rPr>
                <w:noProof/>
                <w:lang w:val="fr-FR"/>
              </w:rPr>
              <w:t xml:space="preserve">Les principales activités, notamment ce qui est fourni à qui et pourquoi;  </w:t>
            </w:r>
          </w:p>
          <w:p w14:paraId="1371707E" w14:textId="77777777" w:rsidR="00D378B8" w:rsidRPr="009B1D4E" w:rsidRDefault="00F4498B">
            <w:pPr>
              <w:pStyle w:val="Bulletlist1"/>
              <w:rPr>
                <w:noProof/>
                <w:lang w:val="fr-FR"/>
              </w:rPr>
            </w:pPr>
            <w:r w:rsidRPr="009B1D4E">
              <w:rPr>
                <w:noProof/>
                <w:lang w:val="fr-FR"/>
              </w:rPr>
              <w:t>Une théorie du changement, un cadre ou un modèle logique existants ou remaniés doivent-ils être mentionnés? Si aucun de ces outils n’est disponible, l’indiquer.</w:t>
            </w:r>
          </w:p>
          <w:p w14:paraId="35FE18E4" w14:textId="77777777" w:rsidR="009B1D4E" w:rsidRPr="009B1D4E" w:rsidRDefault="00F4498B">
            <w:pPr>
              <w:pStyle w:val="Bulletlist1"/>
              <w:rPr>
                <w:noProof/>
                <w:lang w:val="fr-FR"/>
              </w:rPr>
            </w:pPr>
            <w:r w:rsidRPr="009B1D4E">
              <w:rPr>
                <w:noProof/>
                <w:lang w:val="fr-FR"/>
              </w:rPr>
              <w:t>Les ressources (validées et financées, et le pourcentage des exigences financées);</w:t>
            </w:r>
          </w:p>
          <w:p w14:paraId="01F54FBE" w14:textId="3E8CAE0E" w:rsidR="00D378B8" w:rsidRPr="009B1D4E" w:rsidRDefault="00F4498B">
            <w:pPr>
              <w:pStyle w:val="Bulletlist1"/>
              <w:rPr>
                <w:noProof/>
                <w:lang w:val="fr-FR"/>
              </w:rPr>
            </w:pPr>
            <w:r w:rsidRPr="009B1D4E">
              <w:rPr>
                <w:noProof/>
                <w:lang w:val="fr-FR"/>
              </w:rPr>
              <w:t>Les ressources allouées par chaque donateur;</w:t>
            </w:r>
          </w:p>
          <w:p w14:paraId="3B00E7D1" w14:textId="77777777" w:rsidR="00D378B8" w:rsidRPr="009B1D4E" w:rsidRDefault="00F4498B">
            <w:pPr>
              <w:pStyle w:val="Bulletlist1"/>
              <w:rPr>
                <w:noProof/>
                <w:lang w:val="fr-FR"/>
              </w:rPr>
            </w:pPr>
            <w:r w:rsidRPr="009B1D4E">
              <w:rPr>
                <w:noProof/>
                <w:lang w:val="fr-FR"/>
              </w:rPr>
              <w:t xml:space="preserve">Les autres activités/interventions (du PAM </w:t>
            </w:r>
            <w:r w:rsidRPr="009B1D4E">
              <w:rPr>
                <w:noProof/>
                <w:lang w:val="fr-FR"/>
              </w:rPr>
              <w:lastRenderedPageBreak/>
              <w:t>ou d’autres acteurs) antérieures ou simultanées pertinentes;</w:t>
            </w:r>
          </w:p>
          <w:p w14:paraId="2CCA14D2"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Tout changement dans la mise en œuvre ayant trait à la couverture, au budget ou aux bénéficiaires prévus, et explications à ce sujet;</w:t>
            </w:r>
          </w:p>
          <w:p w14:paraId="5F8D893D"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Les conclusions/recommandations issues des activités précédentes d’évaluation et d’examen qui sont pertinentes dans le cadre de cette évaluation;</w:t>
            </w:r>
          </w:p>
          <w:p w14:paraId="53D6D7E7"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Les dimensions liées à l’égalité des genres, l’autonomisation des femmes, l’équité et l’inclusion au sens large</w:t>
            </w:r>
            <w:r w:rsidRPr="009B1D4E">
              <w:rPr>
                <w:rStyle w:val="StyleArialNarrow"/>
                <w:rFonts w:asciiTheme="majorHAnsi" w:hAnsiTheme="majorHAnsi" w:cstheme="majorHAnsi"/>
                <w:noProof/>
                <w:lang w:val="fr-FR"/>
              </w:rPr>
              <w:t xml:space="preserve"> en matière de sécurité alimentaire et de nutrition, à partir d’analyses existantes. </w:t>
            </w:r>
            <w:r w:rsidRPr="009B1D4E">
              <w:rPr>
                <w:noProof/>
                <w:lang w:val="fr-FR"/>
              </w:rPr>
              <w:t>Si aucune analyse n’est disponible pour éclairer le programme, il convient de clairement souligner ce fait.</w:t>
            </w:r>
          </w:p>
          <w:p w14:paraId="7425A496" w14:textId="1609E434" w:rsidR="00D378B8" w:rsidRPr="009B1D4E" w:rsidRDefault="00F4498B">
            <w:pPr>
              <w:pStyle w:val="Bulletlist1"/>
              <w:rPr>
                <w:noProof/>
                <w:lang w:val="fr-FR"/>
              </w:rPr>
            </w:pPr>
            <w:r w:rsidRPr="009B1D4E">
              <w:rPr>
                <w:rStyle w:val="StyleArialNarrow"/>
                <w:rFonts w:asciiTheme="majorHAnsi" w:hAnsiTheme="majorHAnsi" w:cstheme="majorHAnsi"/>
                <w:noProof/>
                <w:lang w:val="fr-FR"/>
              </w:rPr>
              <w:t>L</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objet de l</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évaluation est décrit et s</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inscrit dans un contexte plus large, notamment le Programme 2030;</w:t>
            </w:r>
          </w:p>
          <w:p w14:paraId="63280F5E" w14:textId="36890D18"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Des cartes ou des graphiques permettent d</w:t>
            </w:r>
            <w:r w:rsidR="009B1D4E" w:rsidRPr="009B1D4E">
              <w:rPr>
                <w:noProof/>
                <w:lang w:val="fr-FR"/>
              </w:rPr>
              <w:t>’</w:t>
            </w:r>
            <w:r w:rsidRPr="009B1D4E">
              <w:rPr>
                <w:noProof/>
                <w:lang w:val="fr-FR"/>
              </w:rPr>
              <w:t>illustrer le propos.</w:t>
            </w:r>
          </w:p>
        </w:tc>
        <w:tc>
          <w:tcPr>
            <w:tcW w:w="1783" w:type="pct"/>
          </w:tcPr>
          <w:p w14:paraId="12E2732D" w14:textId="113F4106" w:rsidR="00D378B8" w:rsidRPr="009B1D4E" w:rsidRDefault="00F4498B">
            <w:pPr>
              <w:pStyle w:val="Bulletlist1"/>
              <w:rPr>
                <w:noProof/>
                <w:lang w:val="fr-FR"/>
              </w:rPr>
            </w:pPr>
            <w:r w:rsidRPr="009B1D4E">
              <w:rPr>
                <w:noProof/>
                <w:lang w:val="fr-FR"/>
              </w:rPr>
              <w:lastRenderedPageBreak/>
              <w:t>L</w:t>
            </w:r>
            <w:r w:rsidR="009B1D4E" w:rsidRPr="009B1D4E">
              <w:rPr>
                <w:noProof/>
                <w:lang w:val="fr-FR"/>
              </w:rPr>
              <w:t>’</w:t>
            </w:r>
            <w:r w:rsidRPr="009B1D4E">
              <w:rPr>
                <w:noProof/>
                <w:lang w:val="fr-FR"/>
              </w:rPr>
              <w:t>ensemble du contenu attendu est inclus, et les informations sont pertinentes et importantes pour comprendre l’objet de l’évaluation:</w:t>
            </w:r>
          </w:p>
          <w:p w14:paraId="146939A7" w14:textId="77777777" w:rsidR="00D378B8" w:rsidRPr="009B1D4E" w:rsidRDefault="00F4498B">
            <w:pPr>
              <w:pStyle w:val="Bulletlist1"/>
              <w:rPr>
                <w:noProof/>
                <w:lang w:val="fr-FR"/>
              </w:rPr>
            </w:pPr>
            <w:r w:rsidRPr="009B1D4E">
              <w:rPr>
                <w:noProof/>
                <w:lang w:val="fr-FR"/>
              </w:rPr>
              <w:t>De quel type d’intervention/programme s’agit-il?</w:t>
            </w:r>
          </w:p>
          <w:p w14:paraId="23D566E7" w14:textId="77777777" w:rsidR="00D378B8" w:rsidRPr="009B1D4E" w:rsidRDefault="00F4498B">
            <w:pPr>
              <w:pStyle w:val="Bulletlist1"/>
              <w:rPr>
                <w:noProof/>
                <w:lang w:val="fr-FR"/>
              </w:rPr>
            </w:pPr>
            <w:r w:rsidRPr="009B1D4E">
              <w:rPr>
                <w:noProof/>
                <w:lang w:val="fr-FR"/>
              </w:rPr>
              <w:t>Quand cette intervention a-t-elle lieu?</w:t>
            </w:r>
          </w:p>
          <w:p w14:paraId="4CD97E57" w14:textId="77777777" w:rsidR="00D378B8" w:rsidRPr="009B1D4E" w:rsidRDefault="00F4498B">
            <w:pPr>
              <w:pStyle w:val="Bulletlist1"/>
              <w:rPr>
                <w:noProof/>
                <w:lang w:val="fr-FR"/>
              </w:rPr>
            </w:pPr>
            <w:r w:rsidRPr="009B1D4E">
              <w:rPr>
                <w:noProof/>
                <w:lang w:val="fr-FR"/>
              </w:rPr>
              <w:t xml:space="preserve">Quand a-t-elle été conçue, quand a-t-elle commencé, et quand se terminera-t-elle? </w:t>
            </w:r>
          </w:p>
          <w:p w14:paraId="4ED0A1F3" w14:textId="77777777" w:rsidR="00D378B8" w:rsidRPr="009B1D4E" w:rsidRDefault="00F4498B">
            <w:pPr>
              <w:pStyle w:val="Bulletlist1"/>
              <w:rPr>
                <w:noProof/>
                <w:lang w:val="fr-FR"/>
              </w:rPr>
            </w:pPr>
            <w:r w:rsidRPr="009B1D4E">
              <w:rPr>
                <w:noProof/>
                <w:lang w:val="fr-FR"/>
              </w:rPr>
              <w:t xml:space="preserve">Quelles sont les principales ressources (valeur en dollars É.-U., activités d’assistance technique/de renforcement des capacités)? </w:t>
            </w:r>
          </w:p>
          <w:p w14:paraId="34E1D905" w14:textId="77777777" w:rsidR="00D378B8" w:rsidRPr="009B1D4E" w:rsidRDefault="00F4498B">
            <w:pPr>
              <w:pStyle w:val="Bulletlist1"/>
              <w:rPr>
                <w:noProof/>
                <w:lang w:val="fr-FR"/>
              </w:rPr>
            </w:pPr>
            <w:r w:rsidRPr="009B1D4E">
              <w:rPr>
                <w:noProof/>
                <w:lang w:val="fr-FR"/>
              </w:rPr>
              <w:t>Quelle est l’orientation stratégique?</w:t>
            </w:r>
          </w:p>
          <w:p w14:paraId="574F6450" w14:textId="77777777" w:rsidR="00D378B8" w:rsidRPr="009B1D4E" w:rsidRDefault="00F4498B">
            <w:pPr>
              <w:pStyle w:val="Bulletlist1"/>
              <w:rPr>
                <w:noProof/>
                <w:lang w:val="fr-FR"/>
              </w:rPr>
            </w:pPr>
            <w:r w:rsidRPr="009B1D4E">
              <w:rPr>
                <w:noProof/>
                <w:lang w:val="fr-FR"/>
              </w:rPr>
              <w:t>Quels sont les principaux objectifs/effets directs et les activités prévues?</w:t>
            </w:r>
          </w:p>
          <w:p w14:paraId="1BC8468D" w14:textId="77777777" w:rsidR="00D378B8" w:rsidRPr="009B1D4E" w:rsidRDefault="00F4498B">
            <w:pPr>
              <w:pStyle w:val="Bulletlist1"/>
              <w:rPr>
                <w:noProof/>
                <w:lang w:val="fr-FR"/>
              </w:rPr>
            </w:pPr>
            <w:r w:rsidRPr="009B1D4E">
              <w:rPr>
                <w:noProof/>
                <w:lang w:val="fr-FR"/>
              </w:rPr>
              <w:t>Quels sont les produits prévus (bénéficiaires, transferts monétaires et bons, dollars É.-U.)?</w:t>
            </w:r>
          </w:p>
          <w:p w14:paraId="6D4761DE" w14:textId="77777777" w:rsidR="00D378B8" w:rsidRPr="009B1D4E" w:rsidRDefault="00F4498B">
            <w:pPr>
              <w:pStyle w:val="Bulletlist1"/>
              <w:rPr>
                <w:noProof/>
                <w:lang w:val="fr-FR"/>
              </w:rPr>
            </w:pPr>
            <w:r w:rsidRPr="009B1D4E">
              <w:rPr>
                <w:noProof/>
                <w:lang w:val="fr-FR"/>
              </w:rPr>
              <w:t xml:space="preserve">Quel est le financement total alloué à l’objet de l’évaluation au cours de la période évaluée? </w:t>
            </w:r>
          </w:p>
          <w:p w14:paraId="668268E6" w14:textId="77777777" w:rsidR="00D378B8" w:rsidRPr="009B1D4E" w:rsidRDefault="00F4498B">
            <w:pPr>
              <w:pStyle w:val="Bulletlist1"/>
              <w:rPr>
                <w:noProof/>
                <w:lang w:val="fr-FR"/>
              </w:rPr>
            </w:pPr>
            <w:r w:rsidRPr="009B1D4E">
              <w:rPr>
                <w:noProof/>
                <w:lang w:val="fr-FR"/>
              </w:rPr>
              <w:t>Les modalités de l’intervention sont-elles présentées et clairement expliquées (par exemple, renforcement des capacités, assistance technique, prestation directe de services)?</w:t>
            </w:r>
          </w:p>
          <w:p w14:paraId="33FF2515" w14:textId="77777777" w:rsidR="00D378B8" w:rsidRPr="009B1D4E" w:rsidRDefault="00F4498B">
            <w:pPr>
              <w:pStyle w:val="Bulletlist1"/>
              <w:rPr>
                <w:noProof/>
                <w:lang w:val="fr-FR"/>
              </w:rPr>
            </w:pPr>
            <w:r w:rsidRPr="009B1D4E">
              <w:rPr>
                <w:noProof/>
                <w:lang w:val="fr-FR"/>
              </w:rPr>
              <w:t xml:space="preserve">Qui participe à la mise en œuvre? </w:t>
            </w:r>
          </w:p>
          <w:p w14:paraId="5E3E7530" w14:textId="33AF7775" w:rsidR="00D378B8" w:rsidRPr="009B1D4E" w:rsidRDefault="00F4498B">
            <w:pPr>
              <w:pStyle w:val="Bulletlist1"/>
              <w:rPr>
                <w:noProof/>
                <w:lang w:val="fr-FR"/>
              </w:rPr>
            </w:pPr>
            <w:r w:rsidRPr="009B1D4E">
              <w:rPr>
                <w:noProof/>
                <w:lang w:val="fr-FR"/>
              </w:rPr>
              <w:t>Existe-t-il des problématiques issues d’évaluations et d</w:t>
            </w:r>
            <w:r w:rsidR="009B1D4E" w:rsidRPr="009B1D4E">
              <w:rPr>
                <w:noProof/>
                <w:lang w:val="fr-FR"/>
              </w:rPr>
              <w:t>’</w:t>
            </w:r>
            <w:r w:rsidRPr="009B1D4E">
              <w:rPr>
                <w:noProof/>
                <w:lang w:val="fr-FR"/>
              </w:rPr>
              <w:t>examens précédents qui s’avèrent pertinentes pour l’évaluation?</w:t>
            </w:r>
          </w:p>
          <w:p w14:paraId="1D22951F"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Les dimensions liées à l’égalité des genres, à l’autonomisation des femmes, à l’équité et à l’inclusion au sens large</w:t>
            </w:r>
            <w:r w:rsidRPr="009B1D4E">
              <w:rPr>
                <w:rStyle w:val="StyleArialNarrow"/>
                <w:rFonts w:asciiTheme="majorHAnsi" w:hAnsiTheme="majorHAnsi" w:cstheme="majorHAnsi"/>
                <w:noProof/>
                <w:lang w:val="fr-FR"/>
              </w:rPr>
              <w:t xml:space="preserve"> sont-elles expliquées, et l’évaluation indique-t-elle si le cadre du programme s’appuie sur une analyse des disparités entre les genres? </w:t>
            </w:r>
            <w:r w:rsidRPr="009B1D4E">
              <w:rPr>
                <w:noProof/>
                <w:lang w:val="fr-FR"/>
              </w:rPr>
              <w:t xml:space="preserve"> </w:t>
            </w:r>
            <w:r w:rsidRPr="009B1D4E">
              <w:rPr>
                <w:rStyle w:val="StyleArialNarrow"/>
                <w:rFonts w:asciiTheme="majorHAnsi" w:hAnsiTheme="majorHAnsi" w:cstheme="majorHAnsi"/>
                <w:noProof/>
                <w:lang w:val="fr-FR"/>
              </w:rPr>
              <w:t>Dans quelle mesure l’évaluation porte-t-elle sur les conditions de différents groupes sociaux?</w:t>
            </w:r>
          </w:p>
          <w:p w14:paraId="52BF8234" w14:textId="77777777" w:rsidR="00D378B8" w:rsidRPr="009B1D4E" w:rsidRDefault="00F4498B">
            <w:pPr>
              <w:pStyle w:val="Bulletlist1"/>
              <w:rPr>
                <w:noProof/>
                <w:lang w:val="fr-FR"/>
              </w:rPr>
            </w:pPr>
            <w:r w:rsidRPr="009B1D4E">
              <w:rPr>
                <w:rStyle w:val="StyleArialNarrow"/>
                <w:rFonts w:asciiTheme="majorHAnsi" w:hAnsiTheme="majorHAnsi" w:cstheme="majorHAnsi"/>
                <w:noProof/>
                <w:lang w:val="fr-FR"/>
              </w:rPr>
              <w:lastRenderedPageBreak/>
              <w:t>Les informations sont-elles présentées d’une façon qui permette de saisir l’objectif principal de l’intervention et son évolution dans le temps, le cas échéant? Existe-t-il des différences majeures entre le cadre initial et le cadre actuel?</w:t>
            </w:r>
          </w:p>
        </w:tc>
        <w:tc>
          <w:tcPr>
            <w:tcW w:w="608" w:type="pct"/>
          </w:tcPr>
          <w:p w14:paraId="17F2EAB9" w14:textId="77777777" w:rsidR="00D378B8" w:rsidRPr="009B1D4E" w:rsidRDefault="00D378B8">
            <w:pPr>
              <w:rPr>
                <w:rFonts w:asciiTheme="majorHAnsi" w:hAnsiTheme="majorHAnsi" w:cstheme="majorHAnsi"/>
                <w:noProof/>
                <w:szCs w:val="18"/>
                <w:lang w:val="fr-FR"/>
              </w:rPr>
            </w:pPr>
          </w:p>
        </w:tc>
        <w:tc>
          <w:tcPr>
            <w:tcW w:w="939" w:type="pct"/>
            <w:gridSpan w:val="2"/>
          </w:tcPr>
          <w:p w14:paraId="5D2368E9" w14:textId="77777777" w:rsidR="00D378B8" w:rsidRPr="009B1D4E" w:rsidRDefault="00D378B8">
            <w:pPr>
              <w:rPr>
                <w:rFonts w:asciiTheme="majorHAnsi" w:hAnsiTheme="majorHAnsi" w:cstheme="majorHAnsi"/>
                <w:noProof/>
                <w:szCs w:val="18"/>
                <w:lang w:val="fr-FR"/>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198"/>
        <w:gridCol w:w="1517"/>
        <w:gridCol w:w="192"/>
        <w:gridCol w:w="2610"/>
      </w:tblGrid>
      <w:tr w:rsidR="00D378B8" w:rsidRPr="009B1D4E" w14:paraId="469FFD68" w14:textId="77777777">
        <w:tc>
          <w:tcPr>
            <w:tcW w:w="5000" w:type="pct"/>
            <w:gridSpan w:val="5"/>
            <w:shd w:val="clear" w:color="auto" w:fill="1073B5"/>
          </w:tcPr>
          <w:p w14:paraId="73C0CDB1"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4. Champ d’application, critères et questions d’évaluation</w:t>
            </w:r>
          </w:p>
        </w:tc>
      </w:tr>
      <w:tr w:rsidR="00D378B8" w:rsidRPr="009B1D4E" w14:paraId="48B039CA" w14:textId="77777777">
        <w:tc>
          <w:tcPr>
            <w:tcW w:w="1587" w:type="pct"/>
            <w:shd w:val="clear" w:color="auto" w:fill="FFFFFF" w:themeFill="background1"/>
            <w:vAlign w:val="center"/>
          </w:tcPr>
          <w:p w14:paraId="02C94D3C"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Contenu attendu</w:t>
            </w:r>
          </w:p>
        </w:tc>
        <w:tc>
          <w:tcPr>
            <w:tcW w:w="1864" w:type="pct"/>
            <w:shd w:val="clear" w:color="auto" w:fill="FFFFFF" w:themeFill="background1"/>
            <w:vAlign w:val="center"/>
          </w:tcPr>
          <w:p w14:paraId="7FA4B116" w14:textId="6099C74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613" w:type="pct"/>
            <w:gridSpan w:val="2"/>
            <w:shd w:val="clear" w:color="auto" w:fill="FFFFFF" w:themeFill="background1"/>
            <w:vAlign w:val="center"/>
          </w:tcPr>
          <w:p w14:paraId="6C2AA555"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936" w:type="pct"/>
            <w:shd w:val="clear" w:color="auto" w:fill="FFFFFF" w:themeFill="background1"/>
            <w:vAlign w:val="center"/>
          </w:tcPr>
          <w:p w14:paraId="3B15A6E4"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Commentaires/statut</w:t>
            </w:r>
          </w:p>
        </w:tc>
      </w:tr>
      <w:tr w:rsidR="00D378B8" w:rsidRPr="009B1D4E" w14:paraId="63D33411" w14:textId="77777777">
        <w:trPr>
          <w:trHeight w:val="284"/>
        </w:trPr>
        <w:tc>
          <w:tcPr>
            <w:tcW w:w="1587" w:type="pct"/>
          </w:tcPr>
          <w:p w14:paraId="2BA5E6B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 xml:space="preserve">Description du </w:t>
            </w:r>
            <w:r w:rsidRPr="009B1D4E">
              <w:rPr>
                <w:rStyle w:val="StyleArialNarrow"/>
                <w:rFonts w:asciiTheme="majorHAnsi" w:hAnsiTheme="majorHAnsi" w:cstheme="majorHAnsi"/>
                <w:noProof/>
                <w:lang w:val="fr-FR"/>
              </w:rPr>
              <w:t>champ d’application/des paramètres de l’évaluation en mettant l’accent sur les éléments qu’elle couvrira ou non</w:t>
            </w:r>
            <w:r w:rsidRPr="009B1D4E">
              <w:rPr>
                <w:noProof/>
                <w:lang w:val="fr-FR"/>
              </w:rPr>
              <w:t>, et en incluant des éléments tels que</w:t>
            </w:r>
            <w:r w:rsidRPr="009B1D4E">
              <w:rPr>
                <w:rStyle w:val="StyleArialNarrow"/>
                <w:rFonts w:asciiTheme="majorHAnsi" w:hAnsiTheme="majorHAnsi" w:cstheme="majorHAnsi"/>
                <w:noProof/>
                <w:lang w:val="fr-FR"/>
              </w:rPr>
              <w:t>:</w:t>
            </w:r>
          </w:p>
          <w:p w14:paraId="1691607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 calendrier, les dates de début et de fin de la période évaluée;</w:t>
            </w:r>
          </w:p>
          <w:p w14:paraId="622D6D9F"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Les zones géographiques; </w:t>
            </w:r>
          </w:p>
          <w:p w14:paraId="03D34ACD" w14:textId="023744F2"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Les composantes des interventions/activités à évaluer, qu’il </w:t>
            </w:r>
            <w:r w:rsidRPr="009B1D4E">
              <w:rPr>
                <w:rStyle w:val="StyleArialNarrow"/>
                <w:rFonts w:asciiTheme="majorHAnsi" w:hAnsiTheme="majorHAnsi" w:cstheme="majorHAnsi"/>
                <w:noProof/>
                <w:lang w:val="fr-FR"/>
              </w:rPr>
              <w:lastRenderedPageBreak/>
              <w:t>s’agisse de l’ensemble d’une activité, d’un domaine thématique, d’un projet pilote ou d’une modalité de transfert, ou seulement d’une partie</w:t>
            </w:r>
            <w:r w:rsidR="00A178D5">
              <w:rPr>
                <w:rStyle w:val="StyleArialNarrow"/>
                <w:rFonts w:asciiTheme="majorHAnsi" w:hAnsiTheme="majorHAnsi" w:cstheme="majorHAnsi"/>
                <w:noProof/>
                <w:lang w:val="fr-FR"/>
              </w:rPr>
              <w:t>;</w:t>
            </w:r>
          </w:p>
          <w:p w14:paraId="5BE94C60" w14:textId="33D773B8"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Les groupes cibles spécifiques (y compris les femmes et les filles) qui seront inclus ou exclus du champ d’application de l’évaluation. Les exclusions doivent être justifiée</w:t>
            </w:r>
            <w:r w:rsidR="00A178D5">
              <w:rPr>
                <w:rStyle w:val="StyleArialNarrow"/>
                <w:rFonts w:asciiTheme="majorHAnsi" w:hAnsiTheme="majorHAnsi" w:cstheme="majorHAnsi"/>
                <w:noProof/>
                <w:lang w:val="fr-FR"/>
              </w:rPr>
              <w:t>s.</w:t>
            </w:r>
          </w:p>
          <w:p w14:paraId="2023D7A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Intégration des problématiques liées au genre, à l’équité et à l’inclusion au sens large dans le champ d’analyse de l’évaluation, de façon à garantir la collecte des données correspondantes.</w:t>
            </w:r>
          </w:p>
          <w:p w14:paraId="1A1577F7" w14:textId="77777777" w:rsidR="00D378B8" w:rsidRPr="009B1D4E" w:rsidRDefault="00F4498B">
            <w:pPr>
              <w:pStyle w:val="Bulletlist1"/>
              <w:rPr>
                <w:rStyle w:val="StyleArialNarrow"/>
                <w:rFonts w:asciiTheme="majorHAnsi" w:hAnsiTheme="majorHAnsi" w:cstheme="majorHAnsi"/>
                <w:b/>
                <w:bCs/>
                <w:noProof/>
                <w:szCs w:val="18"/>
                <w:lang w:val="fr-FR"/>
              </w:rPr>
            </w:pPr>
            <w:r w:rsidRPr="009B1D4E">
              <w:rPr>
                <w:rStyle w:val="StyleArialNarrow"/>
                <w:rFonts w:asciiTheme="majorHAnsi" w:hAnsiTheme="majorHAnsi" w:cstheme="majorHAnsi"/>
                <w:noProof/>
                <w:lang w:val="fr-FR"/>
              </w:rPr>
              <w:t xml:space="preserve">Formulation des questions d’évaluation et des principales sous-questions, en équilibrant exhaustivité et précision, et en évitant de fournir une liste de sous-questions très longue. </w:t>
            </w:r>
          </w:p>
          <w:p w14:paraId="44A80517" w14:textId="77777777" w:rsidR="00D378B8" w:rsidRPr="009B1D4E" w:rsidRDefault="00F4498B">
            <w:pPr>
              <w:pStyle w:val="Bulletlist1"/>
              <w:rPr>
                <w:rStyle w:val="StyleArialNarrow"/>
                <w:rFonts w:asciiTheme="majorHAnsi" w:hAnsiTheme="majorHAnsi" w:cstheme="majorHAnsi"/>
                <w:b/>
                <w:bCs/>
                <w:noProof/>
                <w:szCs w:val="18"/>
                <w:lang w:val="fr-FR"/>
              </w:rPr>
            </w:pPr>
            <w:r w:rsidRPr="009B1D4E">
              <w:rPr>
                <w:rStyle w:val="StyleArialNarrow"/>
                <w:rFonts w:asciiTheme="majorHAnsi" w:hAnsiTheme="majorHAnsi" w:cstheme="majorHAnsi"/>
                <w:noProof/>
                <w:lang w:val="fr-FR"/>
              </w:rPr>
              <w:t xml:space="preserve">Intégration des problématiques liées au genre, à l’équité et à l’inclusion au sens large dans l’ensemble des questions de l’évaluation. </w:t>
            </w:r>
          </w:p>
          <w:p w14:paraId="4712078A" w14:textId="77777777" w:rsidR="00D378B8" w:rsidRPr="00F4498B"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Mise en relation adéquate des questions d’évaluation avec les critères d’évaluation sélectionnés, et veille à leur cohérence avec l</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objet, le but et les objectifs de l’évaluation.</w:t>
            </w:r>
          </w:p>
          <w:p w14:paraId="432789E0"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7E4313D3"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6D12451E"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1F98805B"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45732C3F"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24C81800" w14:textId="77777777" w:rsidR="00F4498B" w:rsidRDefault="00F4498B" w:rsidP="00F4498B">
            <w:pPr>
              <w:pStyle w:val="Bulletlist1"/>
              <w:numPr>
                <w:ilvl w:val="0"/>
                <w:numId w:val="0"/>
              </w:numPr>
              <w:ind w:left="720"/>
              <w:rPr>
                <w:rStyle w:val="StyleArialNarrow"/>
                <w:rFonts w:asciiTheme="majorHAnsi" w:hAnsiTheme="majorHAnsi" w:cstheme="majorHAnsi"/>
                <w:noProof/>
                <w:szCs w:val="18"/>
                <w:lang w:val="fr-FR"/>
              </w:rPr>
            </w:pPr>
          </w:p>
          <w:p w14:paraId="7CD80C55" w14:textId="4A033397" w:rsidR="00F4498B" w:rsidRPr="009B1D4E" w:rsidRDefault="00F4498B" w:rsidP="00F4498B">
            <w:pPr>
              <w:pStyle w:val="Bulletlist1"/>
              <w:numPr>
                <w:ilvl w:val="0"/>
                <w:numId w:val="0"/>
              </w:numPr>
              <w:ind w:left="720"/>
              <w:rPr>
                <w:rStyle w:val="StyleArialNarrow"/>
                <w:rFonts w:asciiTheme="majorHAnsi" w:hAnsiTheme="majorHAnsi" w:cstheme="majorHAnsi"/>
                <w:noProof/>
                <w:szCs w:val="18"/>
                <w:lang w:val="fr-FR"/>
              </w:rPr>
            </w:pPr>
          </w:p>
        </w:tc>
        <w:tc>
          <w:tcPr>
            <w:tcW w:w="1864" w:type="pct"/>
          </w:tcPr>
          <w:p w14:paraId="075E15F0" w14:textId="77777777" w:rsidR="00D378B8" w:rsidRPr="009B1D4E" w:rsidRDefault="00F4498B">
            <w:pPr>
              <w:pStyle w:val="Bulletlist1"/>
              <w:rPr>
                <w:noProof/>
                <w:lang w:val="fr-FR"/>
              </w:rPr>
            </w:pPr>
            <w:r w:rsidRPr="009B1D4E">
              <w:rPr>
                <w:noProof/>
                <w:lang w:val="fr-FR"/>
              </w:rPr>
              <w:lastRenderedPageBreak/>
              <w:t>Clarté sur la durée/période qui sera évaluée.</w:t>
            </w:r>
          </w:p>
          <w:p w14:paraId="3F7C51CF" w14:textId="77777777" w:rsidR="00D378B8" w:rsidRPr="009B1D4E" w:rsidRDefault="00F4498B">
            <w:pPr>
              <w:pStyle w:val="Bulletlist1"/>
              <w:rPr>
                <w:noProof/>
                <w:lang w:val="fr-FR"/>
              </w:rPr>
            </w:pPr>
            <w:r w:rsidRPr="009B1D4E">
              <w:rPr>
                <w:noProof/>
                <w:lang w:val="fr-FR"/>
              </w:rPr>
              <w:t>Justification claire de l’orientation, y compris du choix des activités et des domaines d’intervention.</w:t>
            </w:r>
          </w:p>
          <w:p w14:paraId="1F5B3FD4" w14:textId="77777777" w:rsidR="00D378B8" w:rsidRPr="009B1D4E" w:rsidRDefault="00F4498B">
            <w:pPr>
              <w:pStyle w:val="Bulletlist1"/>
              <w:rPr>
                <w:noProof/>
                <w:lang w:val="fr-FR"/>
              </w:rPr>
            </w:pPr>
            <w:r w:rsidRPr="009B1D4E">
              <w:rPr>
                <w:noProof/>
                <w:lang w:val="fr-FR"/>
              </w:rPr>
              <w:t>Justification claire des groupes cibles couverts ou non par l’évaluation.</w:t>
            </w:r>
          </w:p>
          <w:p w14:paraId="0AAC6263" w14:textId="77777777" w:rsidR="00D378B8" w:rsidRPr="009B1D4E" w:rsidRDefault="00F4498B">
            <w:pPr>
              <w:pStyle w:val="Bulletlist1"/>
              <w:rPr>
                <w:noProof/>
                <w:lang w:val="fr-FR"/>
              </w:rPr>
            </w:pPr>
            <w:r w:rsidRPr="009B1D4E">
              <w:rPr>
                <w:noProof/>
                <w:lang w:val="fr-FR"/>
              </w:rPr>
              <w:t>Intégration claire des problématiques liées au genre, à l’équité et à l’inclusion au sens large dans le champ d’application.</w:t>
            </w:r>
          </w:p>
          <w:p w14:paraId="1247368D" w14:textId="77777777" w:rsidR="00D378B8" w:rsidRPr="009B1D4E" w:rsidRDefault="00F4498B">
            <w:pPr>
              <w:pStyle w:val="Bulletlist1"/>
              <w:rPr>
                <w:noProof/>
                <w:lang w:val="fr-FR"/>
              </w:rPr>
            </w:pPr>
            <w:r w:rsidRPr="009B1D4E">
              <w:rPr>
                <w:noProof/>
                <w:lang w:val="fr-FR"/>
              </w:rPr>
              <w:t>Le champ d’application est réaliste au regard du temps et des ressources disponibles.</w:t>
            </w:r>
          </w:p>
          <w:p w14:paraId="510476BE" w14:textId="77777777" w:rsidR="00D378B8" w:rsidRPr="009B1D4E" w:rsidRDefault="00F4498B">
            <w:pPr>
              <w:pStyle w:val="Bulletlist1"/>
              <w:rPr>
                <w:noProof/>
                <w:lang w:val="fr-FR"/>
              </w:rPr>
            </w:pPr>
            <w:r w:rsidRPr="009B1D4E">
              <w:rPr>
                <w:noProof/>
                <w:lang w:val="fr-FR"/>
              </w:rPr>
              <w:lastRenderedPageBreak/>
              <w:t>Les questions de l’évaluation sont claires et pertinentes par rapport au sujet, au but et à l’utilisation prévue de ladite évaluation. Elles ont été adaptées aux besoins spécifiques du bureau commanditaire en matière d’apprentissage et de redevabilité.</w:t>
            </w:r>
          </w:p>
          <w:p w14:paraId="334C47B7" w14:textId="77777777" w:rsidR="00D378B8" w:rsidRPr="009B1D4E" w:rsidRDefault="00F4498B">
            <w:pPr>
              <w:pStyle w:val="Bulletlist1"/>
              <w:rPr>
                <w:noProof/>
                <w:lang w:val="fr-FR"/>
              </w:rPr>
            </w:pPr>
            <w:r w:rsidRPr="009B1D4E">
              <w:rPr>
                <w:noProof/>
                <w:lang w:val="fr-FR"/>
              </w:rPr>
              <w:t xml:space="preserve">Les questions d’évaluation sont adaptées et réalistes au regard du temps et des ressources disponibles. Elles ne sont pas trop nombreuses. </w:t>
            </w:r>
          </w:p>
          <w:p w14:paraId="10681884" w14:textId="77777777" w:rsidR="00D378B8" w:rsidRPr="009B1D4E" w:rsidRDefault="00F4498B">
            <w:pPr>
              <w:pStyle w:val="Bulletlist1"/>
              <w:rPr>
                <w:noProof/>
                <w:lang w:val="fr-FR"/>
              </w:rPr>
            </w:pPr>
            <w:r w:rsidRPr="009B1D4E">
              <w:rPr>
                <w:noProof/>
                <w:lang w:val="fr-FR"/>
              </w:rPr>
              <w:t>Les questions d’évaluation sont correctement corrélées aux critères d’évaluation sélectionnés et y répondent de façon satisfaisante. Elles couvrent les résultats non intentionnels.</w:t>
            </w:r>
          </w:p>
          <w:p w14:paraId="04813C0D" w14:textId="77777777" w:rsidR="00D378B8" w:rsidRPr="009B1D4E" w:rsidRDefault="00F4498B">
            <w:pPr>
              <w:pStyle w:val="Bulletlist1"/>
              <w:rPr>
                <w:noProof/>
                <w:lang w:val="fr-FR"/>
              </w:rPr>
            </w:pPr>
            <w:r w:rsidRPr="009B1D4E">
              <w:rPr>
                <w:noProof/>
                <w:lang w:val="fr-FR"/>
              </w:rPr>
              <w:t>Les dimensions de genre, d’équité et d’inclusion au sens large sont efficacement intégrées dans l’ensemble des questions et critères de l’évaluation.</w:t>
            </w:r>
          </w:p>
        </w:tc>
        <w:tc>
          <w:tcPr>
            <w:tcW w:w="613" w:type="pct"/>
            <w:gridSpan w:val="2"/>
          </w:tcPr>
          <w:p w14:paraId="6CE965C2" w14:textId="77777777" w:rsidR="00D378B8" w:rsidRPr="009B1D4E" w:rsidRDefault="00D378B8">
            <w:pPr>
              <w:rPr>
                <w:rFonts w:asciiTheme="majorHAnsi" w:hAnsiTheme="majorHAnsi" w:cstheme="majorHAnsi"/>
                <w:noProof/>
                <w:szCs w:val="18"/>
                <w:lang w:val="fr-FR"/>
              </w:rPr>
            </w:pPr>
          </w:p>
        </w:tc>
        <w:tc>
          <w:tcPr>
            <w:tcW w:w="936" w:type="pct"/>
          </w:tcPr>
          <w:p w14:paraId="50F1B5AB" w14:textId="77777777" w:rsidR="00D378B8" w:rsidRPr="009B1D4E" w:rsidRDefault="00D378B8">
            <w:pPr>
              <w:rPr>
                <w:rFonts w:asciiTheme="majorHAnsi" w:hAnsiTheme="majorHAnsi" w:cstheme="majorHAnsi"/>
                <w:noProof/>
                <w:szCs w:val="18"/>
                <w:lang w:val="fr-FR"/>
              </w:rPr>
            </w:pPr>
          </w:p>
        </w:tc>
      </w:tr>
      <w:tr w:rsidR="00D378B8" w:rsidRPr="009B1D4E" w14:paraId="53716815" w14:textId="77777777">
        <w:tc>
          <w:tcPr>
            <w:tcW w:w="5000" w:type="pct"/>
            <w:gridSpan w:val="5"/>
            <w:shd w:val="clear" w:color="auto" w:fill="1073B5"/>
          </w:tcPr>
          <w:p w14:paraId="38814CF0"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lastRenderedPageBreak/>
              <w:t>5. Méthodologie et considérations d’ordre éthique</w:t>
            </w:r>
          </w:p>
        </w:tc>
      </w:tr>
      <w:tr w:rsidR="00D378B8" w:rsidRPr="009B1D4E" w14:paraId="20D3C8BD" w14:textId="77777777">
        <w:tc>
          <w:tcPr>
            <w:tcW w:w="1587" w:type="pct"/>
          </w:tcPr>
          <w:p w14:paraId="40B2BFC0"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Contenu attendu</w:t>
            </w:r>
          </w:p>
        </w:tc>
        <w:tc>
          <w:tcPr>
            <w:tcW w:w="1864" w:type="pct"/>
          </w:tcPr>
          <w:p w14:paraId="24730597" w14:textId="42BB0B0A"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544" w:type="pct"/>
          </w:tcPr>
          <w:p w14:paraId="6BAA275A"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1005" w:type="pct"/>
            <w:gridSpan w:val="2"/>
          </w:tcPr>
          <w:p w14:paraId="79B49C0E"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Commentaires/statut</w:t>
            </w:r>
          </w:p>
        </w:tc>
      </w:tr>
      <w:tr w:rsidR="00D378B8" w:rsidRPr="009B1D4E" w14:paraId="69A1FCD0" w14:textId="77777777">
        <w:trPr>
          <w:trHeight w:val="350"/>
        </w:trPr>
        <w:tc>
          <w:tcPr>
            <w:tcW w:w="5000" w:type="pct"/>
            <w:gridSpan w:val="5"/>
            <w:shd w:val="clear" w:color="auto" w:fill="FFFFFF" w:themeFill="background1"/>
          </w:tcPr>
          <w:p w14:paraId="77C8B3AD" w14:textId="77777777" w:rsidR="00D378B8" w:rsidRPr="009B1D4E" w:rsidRDefault="00F4498B">
            <w:pPr>
              <w:rPr>
                <w:rStyle w:val="StyleArialNarrow"/>
                <w:rFonts w:asciiTheme="majorHAnsi" w:hAnsiTheme="majorHAnsi" w:cstheme="majorHAnsi"/>
                <w:noProof/>
                <w:szCs w:val="18"/>
                <w:lang w:val="fr-FR"/>
              </w:rPr>
            </w:pPr>
            <w:r w:rsidRPr="009B1D4E">
              <w:rPr>
                <w:rStyle w:val="StyleArialNarrow"/>
                <w:rFonts w:asciiTheme="majorHAnsi" w:hAnsiTheme="majorHAnsi" w:cstheme="majorHAnsi"/>
                <w:b/>
                <w:noProof/>
                <w:lang w:val="fr-FR"/>
              </w:rPr>
              <w:t xml:space="preserve">5.1. Approche de l’évaluation </w:t>
            </w:r>
          </w:p>
        </w:tc>
      </w:tr>
      <w:tr w:rsidR="00D378B8" w:rsidRPr="009B1D4E" w14:paraId="5E60C9E1" w14:textId="77777777">
        <w:trPr>
          <w:trHeight w:val="350"/>
        </w:trPr>
        <w:tc>
          <w:tcPr>
            <w:tcW w:w="1587" w:type="pct"/>
          </w:tcPr>
          <w:p w14:paraId="066CB944"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Le texte standard est fourni dans le modèle.</w:t>
            </w:r>
          </w:p>
          <w:p w14:paraId="140C294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Présentation de la méthodologie globale de l’évaluation, soulignant les critères, l’exigence d’impartialité et les méthodes (quantitatives, qualitatives ou mixtes) qui seront employées, y compris la façon dont les données seront triangulées.</w:t>
            </w:r>
          </w:p>
          <w:p w14:paraId="3198CF94"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Détermination des principaux risques et des mesures d’atténuation/de gestion adaptées à l’approche méthodologique proposée afin de l’affiner au cours de l’étape de mise en route, si nécessaire.</w:t>
            </w:r>
          </w:p>
          <w:p w14:paraId="4E60367C"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Précision de la façon dont les problématiques liées au genre seront abordées grâce à une méthodologie d’évaluation, des outils, un cadre d’échantillonnage et des techniques d’analyse des données tenant compte des questions de genre. De même, précision de la façon dont la diversité des parties prenantes sera assurée.</w:t>
            </w:r>
          </w:p>
          <w:p w14:paraId="5C170518" w14:textId="77777777" w:rsidR="00D378B8" w:rsidRPr="009B1D4E" w:rsidRDefault="00F4498B">
            <w:pPr>
              <w:pStyle w:val="Bulletlist1"/>
              <w:rPr>
                <w:noProof/>
                <w:lang w:val="fr-FR"/>
              </w:rPr>
            </w:pPr>
            <w:r w:rsidRPr="009B1D4E">
              <w:rPr>
                <w:rStyle w:val="StyleArialNarrow"/>
                <w:rFonts w:asciiTheme="majorHAnsi" w:hAnsiTheme="majorHAnsi" w:cstheme="majorHAnsi"/>
                <w:noProof/>
                <w:lang w:val="fr-FR"/>
              </w:rPr>
              <w:t>Le cas échéant, explication du mode d’exécution de l’analyse au regard des principes humanitaires internationaux.</w:t>
            </w:r>
          </w:p>
          <w:p w14:paraId="7A2B3F95"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Orientations sur de potentielles approches/méthodes innovantes, le cas échéant.</w:t>
            </w:r>
          </w:p>
        </w:tc>
        <w:tc>
          <w:tcPr>
            <w:tcW w:w="1864" w:type="pct"/>
          </w:tcPr>
          <w:p w14:paraId="68333D79" w14:textId="77777777" w:rsidR="00D378B8" w:rsidRPr="009B1D4E" w:rsidRDefault="00F4498B">
            <w:pPr>
              <w:pStyle w:val="Bulletlist1"/>
              <w:rPr>
                <w:noProof/>
                <w:lang w:val="fr-FR"/>
              </w:rPr>
            </w:pPr>
            <w:r w:rsidRPr="009B1D4E">
              <w:rPr>
                <w:rStyle w:val="StyleArialNarrow"/>
                <w:rFonts w:asciiTheme="majorHAnsi" w:eastAsia="Times New Roman" w:hAnsiTheme="majorHAnsi" w:cstheme="majorHAnsi"/>
                <w:noProof/>
                <w:lang w:val="fr-FR"/>
              </w:rPr>
              <w:t xml:space="preserve">Utilisation et contextualisation suffisante du texte </w:t>
            </w:r>
            <w:r w:rsidRPr="009B1D4E">
              <w:rPr>
                <w:noProof/>
                <w:lang w:val="fr-FR"/>
              </w:rPr>
              <w:t>standard.</w:t>
            </w:r>
          </w:p>
          <w:p w14:paraId="10CA3F06" w14:textId="77777777" w:rsidR="00D378B8" w:rsidRPr="009B1D4E" w:rsidRDefault="00F4498B">
            <w:pPr>
              <w:pStyle w:val="Bulletlist1"/>
              <w:rPr>
                <w:noProof/>
                <w:lang w:val="fr-FR"/>
              </w:rPr>
            </w:pPr>
            <w:r w:rsidRPr="009B1D4E">
              <w:rPr>
                <w:noProof/>
                <w:lang w:val="fr-FR"/>
              </w:rPr>
              <w:t xml:space="preserve">Délimitation claire de la méthodologie globale de l’évaluation, décrivant les procédés de collecte de données et l’approche globale visant à garantir l’impartialité. </w:t>
            </w:r>
          </w:p>
          <w:p w14:paraId="39E08A85" w14:textId="77777777" w:rsidR="00D378B8" w:rsidRPr="009B1D4E" w:rsidRDefault="00F4498B">
            <w:pPr>
              <w:pStyle w:val="Bulletlist1"/>
              <w:rPr>
                <w:noProof/>
                <w:lang w:val="fr-FR"/>
              </w:rPr>
            </w:pPr>
            <w:r w:rsidRPr="009B1D4E">
              <w:rPr>
                <w:noProof/>
                <w:lang w:val="fr-FR"/>
              </w:rPr>
              <w:t>Ligne de mire claire englobant la méthodologie, l’approche, les questions et les procédés de collecte de données.</w:t>
            </w:r>
          </w:p>
          <w:p w14:paraId="762ED2C6" w14:textId="77777777" w:rsidR="00D378B8" w:rsidRPr="009B1D4E" w:rsidRDefault="00F4498B">
            <w:pPr>
              <w:pStyle w:val="Bulletlist1"/>
              <w:rPr>
                <w:noProof/>
                <w:lang w:val="fr-FR"/>
              </w:rPr>
            </w:pPr>
            <w:r w:rsidRPr="009B1D4E">
              <w:rPr>
                <w:noProof/>
                <w:lang w:val="fr-FR"/>
              </w:rPr>
              <w:t>Détermination des principaux risques et des mesures d’atténuation/de gestion adaptées à l’approche proposée.</w:t>
            </w:r>
          </w:p>
          <w:p w14:paraId="7D58FA8D" w14:textId="77777777" w:rsidR="00D378B8" w:rsidRPr="009B1D4E" w:rsidRDefault="00F4498B">
            <w:pPr>
              <w:pStyle w:val="Bulletlist1"/>
              <w:rPr>
                <w:noProof/>
                <w:lang w:val="fr-FR"/>
              </w:rPr>
            </w:pPr>
            <w:r w:rsidRPr="009B1D4E">
              <w:rPr>
                <w:noProof/>
                <w:lang w:val="fr-FR"/>
              </w:rPr>
              <w:t>Informations suffisantes pour comprendre comment les problématiques liées au genre, à l’équité et à l’inclusion au sens large seront intégrées à la méthodologie.</w:t>
            </w:r>
          </w:p>
        </w:tc>
        <w:tc>
          <w:tcPr>
            <w:tcW w:w="544" w:type="pct"/>
          </w:tcPr>
          <w:p w14:paraId="5990E08B" w14:textId="77777777" w:rsidR="00D378B8" w:rsidRPr="009B1D4E" w:rsidRDefault="00D378B8">
            <w:pPr>
              <w:rPr>
                <w:rFonts w:asciiTheme="majorHAnsi" w:hAnsiTheme="majorHAnsi" w:cstheme="majorHAnsi"/>
                <w:noProof/>
                <w:szCs w:val="18"/>
                <w:lang w:val="fr-FR"/>
              </w:rPr>
            </w:pPr>
          </w:p>
        </w:tc>
        <w:tc>
          <w:tcPr>
            <w:tcW w:w="1005" w:type="pct"/>
            <w:gridSpan w:val="2"/>
          </w:tcPr>
          <w:p w14:paraId="26030EF0" w14:textId="77777777" w:rsidR="00D378B8" w:rsidRPr="009B1D4E" w:rsidRDefault="00D378B8">
            <w:pPr>
              <w:rPr>
                <w:rFonts w:asciiTheme="majorHAnsi" w:hAnsiTheme="majorHAnsi" w:cstheme="majorHAnsi"/>
                <w:noProof/>
                <w:szCs w:val="18"/>
                <w:lang w:val="fr-FR"/>
              </w:rPr>
            </w:pPr>
          </w:p>
        </w:tc>
      </w:tr>
      <w:tr w:rsidR="00D378B8" w:rsidRPr="009B1D4E" w14:paraId="6AB434E6" w14:textId="77777777">
        <w:trPr>
          <w:trHeight w:val="350"/>
        </w:trPr>
        <w:tc>
          <w:tcPr>
            <w:tcW w:w="5000" w:type="pct"/>
            <w:gridSpan w:val="5"/>
            <w:shd w:val="clear" w:color="auto" w:fill="FFFFFF" w:themeFill="background1"/>
          </w:tcPr>
          <w:p w14:paraId="422D9B86"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lastRenderedPageBreak/>
              <w:t>5.2. Éléments préliminaires à prendre en compte concernant l’évaluabilité et limites méthodologiques</w:t>
            </w:r>
          </w:p>
        </w:tc>
      </w:tr>
      <w:tr w:rsidR="00D378B8" w:rsidRPr="009B1D4E" w14:paraId="1531FF17" w14:textId="77777777" w:rsidTr="00F4498B">
        <w:trPr>
          <w:trHeight w:val="2276"/>
        </w:trPr>
        <w:tc>
          <w:tcPr>
            <w:tcW w:w="1587" w:type="pct"/>
          </w:tcPr>
          <w:p w14:paraId="1E5E57DD"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Précision des principales sources d’information/de données disponibles pour l’équipe chargée de l’évaluation.</w:t>
            </w:r>
          </w:p>
          <w:p w14:paraId="245D79E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Liste des limites (par exemple, manque de clarté du cadre de référence ou de disponibilité des données) et proposition de moyens permettant à l’équipe chargée de l’évaluation de les résoudre.</w:t>
            </w:r>
          </w:p>
          <w:p w14:paraId="31194FE2" w14:textId="77777777" w:rsidR="00D378B8" w:rsidRPr="009B1D4E" w:rsidRDefault="00F4498B">
            <w:pPr>
              <w:pStyle w:val="Bulletlist1"/>
              <w:rPr>
                <w:noProof/>
                <w:lang w:val="fr-FR"/>
              </w:rPr>
            </w:pPr>
            <w:r w:rsidRPr="009B1D4E">
              <w:rPr>
                <w:noProof/>
                <w:lang w:val="fr-FR"/>
              </w:rPr>
              <w:t xml:space="preserve">Description de la disponibilité et de la qualité des données ventilées par genre, y compris l’existence (ou le manque) de données concernant les résultats spécifiques aux genres. </w:t>
            </w:r>
          </w:p>
        </w:tc>
        <w:tc>
          <w:tcPr>
            <w:tcW w:w="1864" w:type="pct"/>
          </w:tcPr>
          <w:p w14:paraId="331A4BD9" w14:textId="77777777" w:rsidR="00D378B8" w:rsidRPr="009B1D4E" w:rsidRDefault="00F4498B">
            <w:pPr>
              <w:pStyle w:val="Bulletlist1"/>
              <w:rPr>
                <w:noProof/>
                <w:lang w:val="fr-FR"/>
              </w:rPr>
            </w:pPr>
            <w:r w:rsidRPr="009B1D4E">
              <w:rPr>
                <w:noProof/>
                <w:lang w:val="fr-FR"/>
              </w:rPr>
              <w:t>Indications claires sur les données disponibles et leurs sources.</w:t>
            </w:r>
          </w:p>
          <w:p w14:paraId="12DC86E5" w14:textId="77777777" w:rsidR="00D378B8" w:rsidRPr="009B1D4E" w:rsidRDefault="00F4498B">
            <w:pPr>
              <w:pStyle w:val="Bulletlist1"/>
              <w:rPr>
                <w:noProof/>
                <w:lang w:val="fr-FR"/>
              </w:rPr>
            </w:pPr>
            <w:r w:rsidRPr="009B1D4E">
              <w:rPr>
                <w:noProof/>
                <w:lang w:val="fr-FR"/>
              </w:rPr>
              <w:t xml:space="preserve">Explication des limites et </w:t>
            </w:r>
            <w:r w:rsidRPr="009B1D4E">
              <w:rPr>
                <w:rStyle w:val="StyleArialNarrow"/>
                <w:rFonts w:asciiTheme="majorHAnsi" w:hAnsiTheme="majorHAnsi" w:cstheme="majorHAnsi"/>
                <w:noProof/>
                <w:lang w:val="fr-FR"/>
              </w:rPr>
              <w:t>discussion des conséquences sur le champ d’application et la méthodologie, y compris en ce qui concerne les limites liées à des questions ou sous-questions spécifiques de l’évaluation.</w:t>
            </w:r>
          </w:p>
          <w:p w14:paraId="312FC879" w14:textId="77777777" w:rsidR="00D378B8" w:rsidRPr="009B1D4E" w:rsidRDefault="00F4498B">
            <w:pPr>
              <w:pStyle w:val="Bulletlist1"/>
              <w:rPr>
                <w:noProof/>
                <w:lang w:val="fr-FR"/>
              </w:rPr>
            </w:pPr>
            <w:r w:rsidRPr="009B1D4E">
              <w:rPr>
                <w:noProof/>
                <w:lang w:val="fr-FR"/>
              </w:rPr>
              <w:t>Mesures d’atténuation proposées.</w:t>
            </w:r>
          </w:p>
          <w:p w14:paraId="112A962A" w14:textId="77777777" w:rsidR="00D378B8" w:rsidRPr="009B1D4E" w:rsidRDefault="00F4498B">
            <w:pPr>
              <w:pStyle w:val="Bulletlist1"/>
              <w:rPr>
                <w:noProof/>
                <w:lang w:val="fr-FR"/>
              </w:rPr>
            </w:pPr>
            <w:r w:rsidRPr="009B1D4E">
              <w:rPr>
                <w:noProof/>
                <w:lang w:val="fr-FR"/>
              </w:rPr>
              <w:t>Disponibilité et qualité des données ventilées par genre, et existence ou manque de données concernant les résultats spécifiques par genre.</w:t>
            </w:r>
          </w:p>
          <w:p w14:paraId="29CF7252" w14:textId="77777777" w:rsidR="00D378B8" w:rsidRPr="009B1D4E" w:rsidRDefault="00F4498B">
            <w:pPr>
              <w:pStyle w:val="Bulletlist1"/>
              <w:rPr>
                <w:noProof/>
                <w:lang w:val="fr-FR"/>
              </w:rPr>
            </w:pPr>
            <w:r w:rsidRPr="009B1D4E">
              <w:rPr>
                <w:noProof/>
                <w:lang w:val="fr-FR"/>
              </w:rPr>
              <w:t>Demande d’outils et de méthodes d’échantillonnage et de collecte de données tenant compte des questions de genre.</w:t>
            </w:r>
          </w:p>
        </w:tc>
        <w:tc>
          <w:tcPr>
            <w:tcW w:w="544" w:type="pct"/>
          </w:tcPr>
          <w:p w14:paraId="16617BF3" w14:textId="77777777" w:rsidR="00D378B8" w:rsidRPr="009B1D4E" w:rsidRDefault="00D378B8">
            <w:pPr>
              <w:rPr>
                <w:rFonts w:asciiTheme="majorHAnsi" w:hAnsiTheme="majorHAnsi" w:cstheme="majorHAnsi"/>
                <w:noProof/>
                <w:szCs w:val="18"/>
                <w:lang w:val="fr-FR"/>
              </w:rPr>
            </w:pPr>
          </w:p>
        </w:tc>
        <w:tc>
          <w:tcPr>
            <w:tcW w:w="1005" w:type="pct"/>
            <w:gridSpan w:val="2"/>
          </w:tcPr>
          <w:p w14:paraId="34DCC9AF" w14:textId="77777777" w:rsidR="00D378B8" w:rsidRPr="009B1D4E" w:rsidRDefault="00D378B8">
            <w:pPr>
              <w:rPr>
                <w:rFonts w:asciiTheme="majorHAnsi" w:hAnsiTheme="majorHAnsi" w:cstheme="majorHAnsi"/>
                <w:noProof/>
                <w:szCs w:val="18"/>
                <w:lang w:val="fr-FR"/>
              </w:rPr>
            </w:pPr>
          </w:p>
        </w:tc>
      </w:tr>
      <w:tr w:rsidR="00D378B8" w:rsidRPr="009B1D4E" w14:paraId="264E2B0F" w14:textId="77777777">
        <w:trPr>
          <w:trHeight w:val="48"/>
        </w:trPr>
        <w:tc>
          <w:tcPr>
            <w:tcW w:w="5000" w:type="pct"/>
            <w:gridSpan w:val="5"/>
            <w:shd w:val="clear" w:color="auto" w:fill="FFFFFF" w:themeFill="background1"/>
          </w:tcPr>
          <w:p w14:paraId="3A13D7E4"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5.3. Considérations éthiques</w:t>
            </w:r>
          </w:p>
        </w:tc>
      </w:tr>
      <w:tr w:rsidR="00D378B8" w:rsidRPr="009B1D4E" w14:paraId="63ED37BE" w14:textId="77777777">
        <w:tc>
          <w:tcPr>
            <w:tcW w:w="1587" w:type="pct"/>
          </w:tcPr>
          <w:p w14:paraId="1FD6A12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Utilisation du texte standard fourni dans le modèle de termes de référence.</w:t>
            </w:r>
          </w:p>
          <w:p w14:paraId="07F08885" w14:textId="77777777" w:rsidR="00D378B8" w:rsidRPr="009B1D4E" w:rsidRDefault="00F4498B">
            <w:pPr>
              <w:pStyle w:val="Bulletlist1"/>
              <w:rPr>
                <w:rStyle w:val="StyleArialNarrow"/>
                <w:rFonts w:asciiTheme="majorHAnsi" w:hAnsiTheme="majorHAnsi" w:cstheme="majorHAnsi"/>
                <w:b/>
                <w:bCs/>
                <w:noProof/>
                <w:szCs w:val="18"/>
                <w:lang w:val="fr-FR"/>
              </w:rPr>
            </w:pPr>
            <w:r w:rsidRPr="009B1D4E">
              <w:rPr>
                <w:noProof/>
                <w:lang w:val="fr-FR"/>
              </w:rPr>
              <w:t>Énumération des problèmes éthiques possibles (notamment les risques pour la protection des données) déjà repérés comme pouvant compromettre la réalisation de l’évaluation et proposition de mesures d’atténuation.</w:t>
            </w:r>
          </w:p>
        </w:tc>
        <w:tc>
          <w:tcPr>
            <w:tcW w:w="1864" w:type="pct"/>
          </w:tcPr>
          <w:p w14:paraId="31B210C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Texte standard utilisé et objectifs contextualisés si nécessaire/possible.</w:t>
            </w:r>
          </w:p>
          <w:p w14:paraId="1739D665" w14:textId="17602D02"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Prise en compte des questions éthiques qui peuvent être liées à l’objet de l’évaluation. S</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il n</w:t>
            </w:r>
            <w:r w:rsidR="009B1D4E" w:rsidRPr="009B1D4E">
              <w:rPr>
                <w:rStyle w:val="StyleArialNarrow"/>
                <w:rFonts w:asciiTheme="majorHAnsi" w:hAnsiTheme="majorHAnsi" w:cstheme="majorHAnsi"/>
                <w:noProof/>
                <w:lang w:val="fr-FR"/>
              </w:rPr>
              <w:t>’</w:t>
            </w:r>
            <w:r w:rsidRPr="009B1D4E">
              <w:rPr>
                <w:rStyle w:val="StyleArialNarrow"/>
                <w:rFonts w:asciiTheme="majorHAnsi" w:hAnsiTheme="majorHAnsi" w:cstheme="majorHAnsi"/>
                <w:noProof/>
                <w:lang w:val="fr-FR"/>
              </w:rPr>
              <w:t>y a pas lieu, il convient de l’indiquer.</w:t>
            </w:r>
          </w:p>
        </w:tc>
        <w:tc>
          <w:tcPr>
            <w:tcW w:w="544" w:type="pct"/>
          </w:tcPr>
          <w:p w14:paraId="20E29418" w14:textId="77777777" w:rsidR="00D378B8" w:rsidRPr="009B1D4E" w:rsidRDefault="00D378B8">
            <w:pPr>
              <w:rPr>
                <w:rStyle w:val="StyleArialNarrow"/>
                <w:rFonts w:asciiTheme="majorHAnsi" w:hAnsiTheme="majorHAnsi" w:cstheme="majorHAnsi"/>
                <w:noProof/>
                <w:szCs w:val="18"/>
                <w:lang w:val="fr-FR"/>
              </w:rPr>
            </w:pPr>
          </w:p>
        </w:tc>
        <w:tc>
          <w:tcPr>
            <w:tcW w:w="1005" w:type="pct"/>
            <w:gridSpan w:val="2"/>
          </w:tcPr>
          <w:p w14:paraId="2F58276C" w14:textId="77777777" w:rsidR="00D378B8" w:rsidRPr="009B1D4E" w:rsidRDefault="00D378B8">
            <w:pPr>
              <w:rPr>
                <w:rStyle w:val="StyleArialNarrow"/>
                <w:rFonts w:asciiTheme="majorHAnsi" w:hAnsiTheme="majorHAnsi" w:cstheme="majorHAnsi"/>
                <w:noProof/>
                <w:szCs w:val="18"/>
                <w:lang w:val="fr-FR"/>
              </w:rPr>
            </w:pPr>
          </w:p>
        </w:tc>
      </w:tr>
      <w:tr w:rsidR="00D378B8" w:rsidRPr="009B1D4E" w14:paraId="3F2BBB6F" w14:textId="77777777">
        <w:trPr>
          <w:trHeight w:val="350"/>
        </w:trPr>
        <w:tc>
          <w:tcPr>
            <w:tcW w:w="5000" w:type="pct"/>
            <w:gridSpan w:val="5"/>
            <w:shd w:val="clear" w:color="auto" w:fill="FFFFFF" w:themeFill="background1"/>
          </w:tcPr>
          <w:p w14:paraId="1E80683D"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5.4. Assurance qualité</w:t>
            </w:r>
          </w:p>
        </w:tc>
      </w:tr>
      <w:tr w:rsidR="00D378B8" w:rsidRPr="009B1D4E" w14:paraId="0277B902" w14:textId="77777777">
        <w:trPr>
          <w:trHeight w:val="350"/>
        </w:trPr>
        <w:tc>
          <w:tcPr>
            <w:tcW w:w="1587" w:type="pct"/>
          </w:tcPr>
          <w:p w14:paraId="0BC271E9"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Utilisation du texte standard fourni dans le modèle de termes de référence. </w:t>
            </w:r>
          </w:p>
          <w:p w14:paraId="3D98B04A"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Définition de mesures supplémentaires pour garantir la qualité du processus et du produit, et ainsi renforcer la crédibilité et l’impartialité de l’évaluation. </w:t>
            </w:r>
          </w:p>
        </w:tc>
        <w:tc>
          <w:tcPr>
            <w:tcW w:w="1864" w:type="pct"/>
          </w:tcPr>
          <w:p w14:paraId="25AFED03" w14:textId="77777777" w:rsidR="00D378B8" w:rsidRPr="009B1D4E" w:rsidRDefault="00F4498B">
            <w:pPr>
              <w:pStyle w:val="Bulletlist1"/>
              <w:rPr>
                <w:noProof/>
                <w:lang w:val="fr-FR"/>
              </w:rPr>
            </w:pPr>
            <w:r w:rsidRPr="009B1D4E">
              <w:rPr>
                <w:noProof/>
                <w:lang w:val="fr-FR"/>
              </w:rPr>
              <w:t>Le texte standard est utilisé.</w:t>
            </w:r>
          </w:p>
          <w:p w14:paraId="692455AB" w14:textId="77777777" w:rsidR="00D378B8" w:rsidRPr="009B1D4E" w:rsidRDefault="00F4498B">
            <w:pPr>
              <w:pStyle w:val="Bulletlist1"/>
              <w:rPr>
                <w:noProof/>
                <w:lang w:val="fr-FR"/>
              </w:rPr>
            </w:pPr>
            <w:r w:rsidRPr="009B1D4E">
              <w:rPr>
                <w:noProof/>
                <w:lang w:val="fr-FR"/>
              </w:rPr>
              <w:t>L’assurance qualité est intégrée à toutes les étapes du processus à travers une brève mention de la façon dont la qualité des différents produits sera garantie.</w:t>
            </w:r>
          </w:p>
          <w:p w14:paraId="31F76933" w14:textId="77777777" w:rsidR="00D378B8" w:rsidRPr="009B1D4E" w:rsidRDefault="00F4498B">
            <w:pPr>
              <w:pStyle w:val="Bulletlist1"/>
              <w:rPr>
                <w:noProof/>
                <w:lang w:val="fr-FR"/>
              </w:rPr>
            </w:pPr>
            <w:r w:rsidRPr="009B1D4E">
              <w:rPr>
                <w:noProof/>
                <w:lang w:val="fr-FR"/>
              </w:rPr>
              <w:t xml:space="preserve">Les exigences concernant l’équipe d’évaluation sont formulées afin que cette dernière puisse </w:t>
            </w:r>
            <w:r w:rsidRPr="009B1D4E">
              <w:rPr>
                <w:noProof/>
                <w:lang w:val="fr-FR"/>
              </w:rPr>
              <w:lastRenderedPageBreak/>
              <w:t>assurer la validité et l’exactitude des données.</w:t>
            </w:r>
          </w:p>
        </w:tc>
        <w:tc>
          <w:tcPr>
            <w:tcW w:w="544" w:type="pct"/>
          </w:tcPr>
          <w:p w14:paraId="7B8B8877" w14:textId="77777777" w:rsidR="00D378B8" w:rsidRPr="009B1D4E" w:rsidRDefault="00D378B8">
            <w:pPr>
              <w:rPr>
                <w:rFonts w:asciiTheme="majorHAnsi" w:hAnsiTheme="majorHAnsi" w:cstheme="majorHAnsi"/>
                <w:noProof/>
                <w:szCs w:val="18"/>
                <w:lang w:val="fr-FR"/>
              </w:rPr>
            </w:pPr>
          </w:p>
        </w:tc>
        <w:tc>
          <w:tcPr>
            <w:tcW w:w="1005" w:type="pct"/>
            <w:gridSpan w:val="2"/>
          </w:tcPr>
          <w:p w14:paraId="32FF2D40" w14:textId="77777777" w:rsidR="00D378B8" w:rsidRPr="009B1D4E" w:rsidRDefault="00D378B8">
            <w:pPr>
              <w:rPr>
                <w:rFonts w:asciiTheme="majorHAnsi" w:hAnsiTheme="majorHAnsi" w:cstheme="majorHAnsi"/>
                <w:noProof/>
                <w:szCs w:val="18"/>
                <w:lang w:val="fr-FR"/>
              </w:rPr>
            </w:pPr>
          </w:p>
        </w:tc>
      </w:tr>
      <w:tr w:rsidR="00D378B8" w:rsidRPr="009B1D4E" w14:paraId="3987E4DD" w14:textId="77777777">
        <w:tc>
          <w:tcPr>
            <w:tcW w:w="5000" w:type="pct"/>
            <w:gridSpan w:val="5"/>
            <w:shd w:val="clear" w:color="auto" w:fill="1073B5"/>
          </w:tcPr>
          <w:p w14:paraId="46014383"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6. Organisation de l’évaluation</w:t>
            </w:r>
          </w:p>
        </w:tc>
      </w:tr>
      <w:tr w:rsidR="00D378B8" w:rsidRPr="009B1D4E" w14:paraId="588D1E1B" w14:textId="77777777">
        <w:tc>
          <w:tcPr>
            <w:tcW w:w="1587" w:type="pct"/>
          </w:tcPr>
          <w:p w14:paraId="2D63CED3"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Contenu attendu</w:t>
            </w:r>
          </w:p>
        </w:tc>
        <w:tc>
          <w:tcPr>
            <w:tcW w:w="1864" w:type="pct"/>
          </w:tcPr>
          <w:p w14:paraId="690234A4" w14:textId="4D785B51"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d</w:t>
            </w:r>
            <w:r w:rsidR="009B1D4E" w:rsidRPr="009B1D4E">
              <w:rPr>
                <w:rStyle w:val="StyleArialNarrow"/>
                <w:rFonts w:asciiTheme="majorHAnsi" w:hAnsiTheme="majorHAnsi" w:cstheme="majorHAnsi"/>
                <w:b/>
                <w:noProof/>
                <w:lang w:val="fr-FR"/>
              </w:rPr>
              <w:t>’</w:t>
            </w:r>
            <w:r w:rsidRPr="009B1D4E">
              <w:rPr>
                <w:rStyle w:val="StyleArialNarrow"/>
                <w:rFonts w:asciiTheme="majorHAnsi" w:hAnsiTheme="majorHAnsi" w:cstheme="majorHAnsi"/>
                <w:b/>
                <w:noProof/>
                <w:lang w:val="fr-FR"/>
              </w:rPr>
              <w:t>évaluation</w:t>
            </w:r>
          </w:p>
        </w:tc>
        <w:tc>
          <w:tcPr>
            <w:tcW w:w="544" w:type="pct"/>
          </w:tcPr>
          <w:p w14:paraId="14AA5611"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Critères remplis</w:t>
            </w:r>
          </w:p>
        </w:tc>
        <w:tc>
          <w:tcPr>
            <w:tcW w:w="1005" w:type="pct"/>
            <w:gridSpan w:val="2"/>
          </w:tcPr>
          <w:p w14:paraId="65B47F86" w14:textId="77777777" w:rsidR="00D378B8" w:rsidRPr="00F4498B" w:rsidRDefault="00F4498B">
            <w:pPr>
              <w:pStyle w:val="P68B1DB1-Normal3"/>
              <w:rPr>
                <w:rStyle w:val="StyleArialNarrow"/>
                <w:rFonts w:asciiTheme="majorHAnsi" w:hAnsiTheme="majorHAnsi"/>
                <w:b/>
                <w:bCs/>
                <w:noProof/>
                <w:szCs w:val="18"/>
                <w:lang w:val="fr-FR"/>
              </w:rPr>
            </w:pPr>
            <w:r w:rsidRPr="00F4498B">
              <w:rPr>
                <w:b/>
                <w:bCs/>
                <w:noProof/>
                <w:lang w:val="fr-FR"/>
              </w:rPr>
              <w:t>Commentaires/statut</w:t>
            </w:r>
          </w:p>
        </w:tc>
      </w:tr>
      <w:tr w:rsidR="00D378B8" w:rsidRPr="009B1D4E" w14:paraId="0BF6FCEF" w14:textId="77777777">
        <w:tc>
          <w:tcPr>
            <w:tcW w:w="5000" w:type="pct"/>
            <w:gridSpan w:val="5"/>
            <w:shd w:val="clear" w:color="auto" w:fill="FFFFFF" w:themeFill="background1"/>
          </w:tcPr>
          <w:p w14:paraId="38C8D743"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6.1. Étapes et produits livrables</w:t>
            </w:r>
          </w:p>
        </w:tc>
      </w:tr>
      <w:tr w:rsidR="00D378B8" w:rsidRPr="009B1D4E" w14:paraId="10073795" w14:textId="77777777">
        <w:trPr>
          <w:trHeight w:val="356"/>
        </w:trPr>
        <w:tc>
          <w:tcPr>
            <w:tcW w:w="1587" w:type="pct"/>
          </w:tcPr>
          <w:p w14:paraId="1D521D44"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Inclusion d’un résumé de la chronologie avec un tableau des étapes clés de l’évaluation et de la chronologie détaillée en annexe 2.</w:t>
            </w:r>
          </w:p>
          <w:p w14:paraId="72397545"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Clarification de la chronologie des cinq étapes de l’évaluation, des échéances, des tâches spécifiques ainsi que des principaux produits livrables et de leurs responsables.</w:t>
            </w:r>
          </w:p>
          <w:p w14:paraId="2154C16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Prévision d’un temps suffisant pour l’analyse des données ainsi que pour l’examen, les retours d’information et la révision du rapport d’évaluation provisoire. </w:t>
            </w:r>
          </w:p>
        </w:tc>
        <w:tc>
          <w:tcPr>
            <w:tcW w:w="1864" w:type="pct"/>
          </w:tcPr>
          <w:p w14:paraId="4B8CE855"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Utilisation d’un résumé de la chronologie avec un tableau dans la partie principale, et chronologie détaillée en annexe 2 des termes de référence.</w:t>
            </w:r>
          </w:p>
          <w:p w14:paraId="77B9E32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Temps suffisant accordé à chacune des étapes.</w:t>
            </w:r>
          </w:p>
          <w:p w14:paraId="314BA2E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Produits livrables clairement définis pour chaque étape, avec indication des personnes responsables.</w:t>
            </w:r>
          </w:p>
        </w:tc>
        <w:tc>
          <w:tcPr>
            <w:tcW w:w="544" w:type="pct"/>
          </w:tcPr>
          <w:p w14:paraId="3DB4AAF8" w14:textId="77777777" w:rsidR="00D378B8" w:rsidRPr="009B1D4E" w:rsidRDefault="00D378B8">
            <w:pPr>
              <w:rPr>
                <w:rStyle w:val="StyleArialNarrow"/>
                <w:rFonts w:asciiTheme="majorHAnsi" w:hAnsiTheme="majorHAnsi" w:cstheme="majorHAnsi"/>
                <w:noProof/>
                <w:szCs w:val="18"/>
                <w:lang w:val="fr-FR"/>
              </w:rPr>
            </w:pPr>
          </w:p>
        </w:tc>
        <w:tc>
          <w:tcPr>
            <w:tcW w:w="1005" w:type="pct"/>
            <w:gridSpan w:val="2"/>
          </w:tcPr>
          <w:p w14:paraId="570FB107" w14:textId="77777777" w:rsidR="00D378B8" w:rsidRPr="009B1D4E" w:rsidRDefault="00D378B8">
            <w:pPr>
              <w:rPr>
                <w:rStyle w:val="StyleArialNarrow"/>
                <w:rFonts w:asciiTheme="majorHAnsi" w:hAnsiTheme="majorHAnsi" w:cstheme="majorHAnsi"/>
                <w:noProof/>
                <w:szCs w:val="18"/>
                <w:lang w:val="fr-FR"/>
              </w:rPr>
            </w:pPr>
          </w:p>
        </w:tc>
      </w:tr>
      <w:tr w:rsidR="00D378B8" w:rsidRPr="009B1D4E" w14:paraId="1BF068B3" w14:textId="77777777">
        <w:tc>
          <w:tcPr>
            <w:tcW w:w="5000" w:type="pct"/>
            <w:gridSpan w:val="5"/>
            <w:shd w:val="clear" w:color="auto" w:fill="FFFFFF" w:themeFill="background1"/>
          </w:tcPr>
          <w:p w14:paraId="7FEC0107"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 xml:space="preserve">6.2. Composition de l’équipe d’évaluation </w:t>
            </w:r>
          </w:p>
        </w:tc>
      </w:tr>
      <w:tr w:rsidR="00D378B8" w:rsidRPr="009B1D4E" w14:paraId="11A70FBA" w14:textId="77777777">
        <w:tc>
          <w:tcPr>
            <w:tcW w:w="1587" w:type="pct"/>
            <w:shd w:val="clear" w:color="auto" w:fill="auto"/>
          </w:tcPr>
          <w:p w14:paraId="70ED57F1" w14:textId="77777777" w:rsidR="00D378B8" w:rsidRPr="009B1D4E" w:rsidRDefault="00F4498B" w:rsidP="00F4498B">
            <w:pPr>
              <w:pStyle w:val="Bulletlist1"/>
              <w:numPr>
                <w:ilvl w:val="0"/>
                <w:numId w:val="0"/>
              </w:numPr>
              <w:rPr>
                <w:rStyle w:val="StyleArialNarrow"/>
                <w:rFonts w:asciiTheme="majorHAnsi" w:eastAsia="Times New Roman" w:hAnsiTheme="majorHAnsi" w:cstheme="majorHAnsi"/>
                <w:noProof/>
                <w:szCs w:val="18"/>
                <w:lang w:val="fr-FR"/>
              </w:rPr>
            </w:pPr>
            <w:r w:rsidRPr="009B1D4E">
              <w:rPr>
                <w:rStyle w:val="StyleArialNarrow"/>
                <w:rFonts w:asciiTheme="majorHAnsi" w:eastAsia="Times New Roman" w:hAnsiTheme="majorHAnsi" w:cstheme="majorHAnsi"/>
                <w:noProof/>
                <w:lang w:val="fr-FR"/>
              </w:rPr>
              <w:t xml:space="preserve">Description: </w:t>
            </w:r>
          </w:p>
          <w:p w14:paraId="5C53AC3D"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Du nombre de membres de l’équipe et précision de la combinaison ou non d’évaluateurs recrutés sur le plan national et international;</w:t>
            </w:r>
          </w:p>
          <w:p w14:paraId="11038B63"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De l’expertise/des profils et des langues utilisées; </w:t>
            </w:r>
          </w:p>
          <w:p w14:paraId="500705A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De la composition attendue de l’équipe, y compris les domaines d’expertise et les connaissances pratiques de ses membres; </w:t>
            </w:r>
          </w:p>
          <w:p w14:paraId="38714D82"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lastRenderedPageBreak/>
              <w:t xml:space="preserve">Des relations hiérarchiques, ainsi que des rôles et responsabilités du/de la chef(fe) d’équipe et des membres de l’équipe. </w:t>
            </w:r>
          </w:p>
        </w:tc>
        <w:tc>
          <w:tcPr>
            <w:tcW w:w="1864" w:type="pct"/>
            <w:shd w:val="clear" w:color="auto" w:fill="auto"/>
          </w:tcPr>
          <w:p w14:paraId="6DB74CA4" w14:textId="77777777" w:rsidR="00D378B8" w:rsidRPr="009B1D4E" w:rsidRDefault="00F4498B">
            <w:pPr>
              <w:pStyle w:val="Bulletlist1"/>
              <w:rPr>
                <w:noProof/>
                <w:lang w:val="fr-FR"/>
              </w:rPr>
            </w:pPr>
            <w:r w:rsidRPr="009B1D4E">
              <w:rPr>
                <w:rStyle w:val="StyleArialNarrow"/>
                <w:rFonts w:asciiTheme="majorHAnsi" w:hAnsiTheme="majorHAnsi" w:cstheme="majorHAnsi"/>
                <w:noProof/>
                <w:lang w:val="fr-FR"/>
              </w:rPr>
              <w:lastRenderedPageBreak/>
              <w:t xml:space="preserve">L’expertise requise correspond à la portée de l’évaluation, </w:t>
            </w:r>
            <w:r w:rsidRPr="009B1D4E">
              <w:rPr>
                <w:noProof/>
                <w:lang w:val="fr-FR"/>
              </w:rPr>
              <w:t>y compris en ce qui concerne l’égalité des genres et l’autonomisation des femmes.</w:t>
            </w:r>
          </w:p>
          <w:p w14:paraId="2C04164E" w14:textId="77777777" w:rsidR="00D378B8" w:rsidRPr="009B1D4E" w:rsidRDefault="00F4498B">
            <w:pPr>
              <w:pStyle w:val="Bulletlist1"/>
              <w:rPr>
                <w:noProof/>
                <w:lang w:val="fr-FR"/>
              </w:rPr>
            </w:pPr>
            <w:r w:rsidRPr="009B1D4E">
              <w:rPr>
                <w:noProof/>
                <w:lang w:val="fr-FR"/>
              </w:rPr>
              <w:t xml:space="preserve">Il est explicitement requis de l’équipe d’évaluation qu’elle assure une représentation équilibrée des hommes et des femmes, avec une certaine diversité géographique et culturelle. </w:t>
            </w:r>
          </w:p>
          <w:p w14:paraId="33D8896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 xml:space="preserve">Le nombre </w:t>
            </w:r>
            <w:r w:rsidRPr="009B1D4E">
              <w:rPr>
                <w:rStyle w:val="StyleArialNarrow"/>
                <w:rFonts w:asciiTheme="majorHAnsi" w:hAnsiTheme="majorHAnsi" w:cstheme="majorHAnsi"/>
                <w:noProof/>
                <w:lang w:val="fr-FR"/>
              </w:rPr>
              <w:t>de personnes à inclure dans l’équipe est précisé et il est proportionnel au budget disponible, ainsi qu’à l’ampleur et à la complexité de l’intervention.</w:t>
            </w:r>
          </w:p>
        </w:tc>
        <w:tc>
          <w:tcPr>
            <w:tcW w:w="544" w:type="pct"/>
          </w:tcPr>
          <w:p w14:paraId="151AF5F4" w14:textId="77777777" w:rsidR="00D378B8" w:rsidRPr="009B1D4E" w:rsidRDefault="00D378B8">
            <w:pPr>
              <w:rPr>
                <w:rStyle w:val="StyleArialNarrow"/>
                <w:rFonts w:asciiTheme="majorHAnsi" w:hAnsiTheme="majorHAnsi" w:cstheme="majorHAnsi"/>
                <w:noProof/>
                <w:szCs w:val="18"/>
                <w:lang w:val="fr-FR"/>
              </w:rPr>
            </w:pPr>
          </w:p>
        </w:tc>
        <w:tc>
          <w:tcPr>
            <w:tcW w:w="1005" w:type="pct"/>
            <w:gridSpan w:val="2"/>
          </w:tcPr>
          <w:p w14:paraId="465A4F75" w14:textId="77777777" w:rsidR="00D378B8" w:rsidRPr="009B1D4E" w:rsidRDefault="00D378B8">
            <w:pPr>
              <w:rPr>
                <w:rStyle w:val="StyleArialNarrow"/>
                <w:rFonts w:asciiTheme="majorHAnsi" w:hAnsiTheme="majorHAnsi" w:cstheme="majorHAnsi"/>
                <w:noProof/>
                <w:szCs w:val="18"/>
                <w:lang w:val="fr-FR"/>
              </w:rPr>
            </w:pPr>
          </w:p>
        </w:tc>
      </w:tr>
      <w:tr w:rsidR="00D378B8" w:rsidRPr="009B1D4E" w14:paraId="62CD412B" w14:textId="77777777">
        <w:tc>
          <w:tcPr>
            <w:tcW w:w="5000" w:type="pct"/>
            <w:gridSpan w:val="5"/>
            <w:tcBorders>
              <w:top w:val="nil"/>
            </w:tcBorders>
            <w:shd w:val="clear" w:color="auto" w:fill="FFFFFF" w:themeFill="background1"/>
          </w:tcPr>
          <w:p w14:paraId="51130C57"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 xml:space="preserve">6.3. Rôles et responsabilités </w:t>
            </w:r>
          </w:p>
        </w:tc>
      </w:tr>
      <w:tr w:rsidR="00D378B8" w:rsidRPr="009B1D4E" w14:paraId="2BBA3FC5" w14:textId="77777777">
        <w:tc>
          <w:tcPr>
            <w:tcW w:w="1587" w:type="pct"/>
          </w:tcPr>
          <w:p w14:paraId="7749E71C"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Indication de la façon dont l’évaluation sera menée et dirigée.</w:t>
            </w:r>
          </w:p>
          <w:p w14:paraId="69340ADD" w14:textId="77777777" w:rsidR="00D378B8" w:rsidRPr="009B1D4E" w:rsidRDefault="00F4498B">
            <w:pPr>
              <w:pStyle w:val="Bulletlist1"/>
              <w:rPr>
                <w:noProof/>
                <w:lang w:val="fr-FR"/>
              </w:rPr>
            </w:pPr>
            <w:r w:rsidRPr="009B1D4E">
              <w:rPr>
                <w:noProof/>
                <w:lang w:val="fr-FR"/>
              </w:rPr>
              <w:t xml:space="preserve">Description des rôles et responsabilités des principales parties prenantes dans le processus d’évaluation. </w:t>
            </w:r>
          </w:p>
          <w:p w14:paraId="0C91BD7E" w14:textId="77777777" w:rsidR="00D378B8" w:rsidRPr="009B1D4E" w:rsidRDefault="00F4498B">
            <w:pPr>
              <w:pStyle w:val="Bulletlist1"/>
              <w:rPr>
                <w:noProof/>
                <w:lang w:val="fr-FR"/>
              </w:rPr>
            </w:pPr>
            <w:r w:rsidRPr="009B1D4E">
              <w:rPr>
                <w:noProof/>
                <w:lang w:val="fr-FR"/>
              </w:rPr>
              <w:t>Annexe des termes de référence décrivant les membres, rôles et engagements du comité d’évaluation.</w:t>
            </w:r>
          </w:p>
          <w:p w14:paraId="4E1F5241"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Annexe des termes de référence décrivant les membres, rôles et engagements du groupe de référence de l’évaluation.</w:t>
            </w:r>
          </w:p>
        </w:tc>
        <w:tc>
          <w:tcPr>
            <w:tcW w:w="1864" w:type="pct"/>
          </w:tcPr>
          <w:p w14:paraId="22A36C65" w14:textId="77777777" w:rsidR="00D378B8" w:rsidRPr="009B1D4E" w:rsidRDefault="00F4498B">
            <w:pPr>
              <w:pStyle w:val="Bulletlist1"/>
              <w:rPr>
                <w:noProof/>
                <w:lang w:val="fr-FR"/>
              </w:rPr>
            </w:pPr>
            <w:r w:rsidRPr="009B1D4E">
              <w:rPr>
                <w:noProof/>
                <w:lang w:val="fr-FR"/>
              </w:rPr>
              <w:t>Identification de toutes les parties prenantes pertinentes, ce qui démontre l’impartialité de l’évaluation.</w:t>
            </w:r>
          </w:p>
          <w:p w14:paraId="72821DEE" w14:textId="77777777" w:rsidR="00D378B8" w:rsidRPr="009B1D4E" w:rsidRDefault="00F4498B">
            <w:pPr>
              <w:pStyle w:val="Bulletlist1"/>
              <w:rPr>
                <w:noProof/>
                <w:lang w:val="fr-FR"/>
              </w:rPr>
            </w:pPr>
            <w:r w:rsidRPr="009B1D4E">
              <w:rPr>
                <w:noProof/>
                <w:lang w:val="fr-FR"/>
              </w:rPr>
              <w:t>Compréhension claire des intérêts et des préoccupations des parties prenantes.</w:t>
            </w:r>
          </w:p>
          <w:p w14:paraId="04C318FE" w14:textId="77777777" w:rsidR="00D378B8" w:rsidRPr="009B1D4E" w:rsidRDefault="00F4498B">
            <w:pPr>
              <w:pStyle w:val="Bulletlist1"/>
              <w:rPr>
                <w:noProof/>
                <w:lang w:val="fr-FR"/>
              </w:rPr>
            </w:pPr>
            <w:r w:rsidRPr="009B1D4E">
              <w:rPr>
                <w:noProof/>
                <w:lang w:val="fr-FR"/>
              </w:rPr>
              <w:t>Identification des parties prenantes indirectes susceptibles de jouer un rôle.</w:t>
            </w:r>
          </w:p>
          <w:p w14:paraId="4BA2808B" w14:textId="77777777" w:rsidR="00D378B8" w:rsidRPr="009B1D4E" w:rsidRDefault="00F4498B">
            <w:pPr>
              <w:pStyle w:val="Bulletlist1"/>
              <w:rPr>
                <w:noProof/>
                <w:lang w:val="fr-FR"/>
              </w:rPr>
            </w:pPr>
            <w:r w:rsidRPr="009B1D4E">
              <w:rPr>
                <w:noProof/>
                <w:lang w:val="fr-FR"/>
              </w:rPr>
              <w:t xml:space="preserve">Clarté des mesures visant à garantir l’impartialité et la crédibilité de l’évaluation, par rapport à chaque partie prenante. </w:t>
            </w:r>
          </w:p>
          <w:p w14:paraId="342A3E25" w14:textId="77777777" w:rsidR="00D378B8" w:rsidRPr="009B1D4E" w:rsidRDefault="00F4498B">
            <w:pPr>
              <w:pStyle w:val="Bulletlist1"/>
              <w:rPr>
                <w:noProof/>
                <w:lang w:val="fr-FR"/>
              </w:rPr>
            </w:pPr>
            <w:r w:rsidRPr="009B1D4E">
              <w:rPr>
                <w:noProof/>
                <w:lang w:val="fr-FR"/>
              </w:rPr>
              <w:t xml:space="preserve">Le comité d’évaluation et le groupe de référence de l’évaluation ont été formés, et leurs rôles et responsabilités ont été définis. </w:t>
            </w:r>
          </w:p>
          <w:p w14:paraId="539EEFA0"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 xml:space="preserve">Fourniture d’un calendrier de collaboration du comité et du groupe de référence de l’évaluation, estimation du niveau d’effort et dates provisoires de chaque étape en annexe. </w:t>
            </w:r>
          </w:p>
        </w:tc>
        <w:tc>
          <w:tcPr>
            <w:tcW w:w="544" w:type="pct"/>
          </w:tcPr>
          <w:p w14:paraId="135BB355" w14:textId="77777777" w:rsidR="00D378B8" w:rsidRPr="009B1D4E" w:rsidRDefault="00D378B8">
            <w:pPr>
              <w:rPr>
                <w:rFonts w:asciiTheme="majorHAnsi" w:hAnsiTheme="majorHAnsi" w:cstheme="majorHAnsi"/>
                <w:noProof/>
                <w:szCs w:val="18"/>
                <w:lang w:val="fr-FR"/>
              </w:rPr>
            </w:pPr>
          </w:p>
        </w:tc>
        <w:tc>
          <w:tcPr>
            <w:tcW w:w="1005" w:type="pct"/>
            <w:gridSpan w:val="2"/>
          </w:tcPr>
          <w:p w14:paraId="3FFB6E10" w14:textId="77777777" w:rsidR="00D378B8" w:rsidRPr="009B1D4E" w:rsidRDefault="00D378B8">
            <w:pPr>
              <w:rPr>
                <w:rFonts w:asciiTheme="majorHAnsi" w:hAnsiTheme="majorHAnsi" w:cstheme="majorHAnsi"/>
                <w:noProof/>
                <w:szCs w:val="18"/>
                <w:lang w:val="fr-FR"/>
              </w:rPr>
            </w:pPr>
          </w:p>
        </w:tc>
      </w:tr>
      <w:tr w:rsidR="00D378B8" w:rsidRPr="009B1D4E" w14:paraId="165FCF3D" w14:textId="77777777">
        <w:trPr>
          <w:trHeight w:val="48"/>
        </w:trPr>
        <w:tc>
          <w:tcPr>
            <w:tcW w:w="5000" w:type="pct"/>
            <w:gridSpan w:val="5"/>
            <w:tcBorders>
              <w:bottom w:val="single" w:sz="4" w:space="0" w:color="auto"/>
            </w:tcBorders>
            <w:shd w:val="clear" w:color="auto" w:fill="FFFFFF" w:themeFill="background1"/>
          </w:tcPr>
          <w:p w14:paraId="232D27E2"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t>6.4. Considérations relatives à la sécurité</w:t>
            </w:r>
          </w:p>
        </w:tc>
      </w:tr>
      <w:tr w:rsidR="00D378B8" w:rsidRPr="009B1D4E" w14:paraId="633A1C45" w14:textId="77777777">
        <w:tc>
          <w:tcPr>
            <w:tcW w:w="1587" w:type="pct"/>
            <w:tcBorders>
              <w:bottom w:val="single" w:sz="4" w:space="0" w:color="auto"/>
            </w:tcBorders>
          </w:tcPr>
          <w:p w14:paraId="749E0B3C"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Utilisation du texte standard fourni dans le modèle des termes de référence.</w:t>
            </w:r>
          </w:p>
          <w:p w14:paraId="6E21DFD9"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Mention de toute considération relative à la sécurité pouvant être pertinente.</w:t>
            </w:r>
          </w:p>
          <w:p w14:paraId="24958D22"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rStyle w:val="StyleArialNarrow"/>
                <w:rFonts w:asciiTheme="majorHAnsi" w:hAnsiTheme="majorHAnsi" w:cstheme="majorHAnsi"/>
                <w:noProof/>
                <w:lang w:val="fr-FR"/>
              </w:rPr>
              <w:t>Mention de toute considération spécifique relative à la sécurité des femmes qui se rendent sur le terrain et à la sécurité de celles qui répondent à l’évaluation, ainsi que des moyens proposés pour atténuer ces risques.</w:t>
            </w:r>
          </w:p>
        </w:tc>
        <w:tc>
          <w:tcPr>
            <w:tcW w:w="1864" w:type="pct"/>
            <w:tcBorders>
              <w:bottom w:val="single" w:sz="4" w:space="0" w:color="auto"/>
            </w:tcBorders>
          </w:tcPr>
          <w:p w14:paraId="18540A3A" w14:textId="77777777" w:rsidR="00D378B8" w:rsidRPr="009B1D4E" w:rsidRDefault="00F4498B">
            <w:pPr>
              <w:pStyle w:val="Bulletlist1"/>
              <w:rPr>
                <w:noProof/>
                <w:lang w:val="fr-FR"/>
              </w:rPr>
            </w:pPr>
            <w:r w:rsidRPr="009B1D4E">
              <w:rPr>
                <w:rStyle w:val="StyleArialNarrow"/>
                <w:rFonts w:asciiTheme="majorHAnsi" w:hAnsiTheme="majorHAnsi" w:cstheme="majorHAnsi"/>
                <w:noProof/>
                <w:lang w:val="fr-FR"/>
              </w:rPr>
              <w:t>Le texte standard est utilisé et adapté selon les modalités contractuelles choisies par le bureau commanditaire (</w:t>
            </w:r>
            <w:r w:rsidRPr="009B1D4E">
              <w:rPr>
                <w:noProof/>
                <w:lang w:val="fr-FR"/>
              </w:rPr>
              <w:t>consultants individuels ou sociétés prestataires).</w:t>
            </w:r>
          </w:p>
          <w:p w14:paraId="6B190160" w14:textId="77777777" w:rsidR="00D378B8" w:rsidRPr="009B1D4E" w:rsidRDefault="00F4498B">
            <w:pPr>
              <w:pStyle w:val="Bulletlist1"/>
              <w:rPr>
                <w:noProof/>
                <w:lang w:val="fr-FR"/>
              </w:rPr>
            </w:pPr>
            <w:r w:rsidRPr="009B1D4E">
              <w:rPr>
                <w:noProof/>
                <w:lang w:val="fr-FR"/>
              </w:rPr>
              <w:t>Les considérations relatives à la sécurité sont pertinentes pour le contexte de l’évaluation.</w:t>
            </w:r>
          </w:p>
          <w:p w14:paraId="3956A375"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Les considérations</w:t>
            </w:r>
            <w:r w:rsidRPr="009B1D4E">
              <w:rPr>
                <w:rStyle w:val="StyleArialNarrow"/>
                <w:rFonts w:asciiTheme="majorHAnsi" w:hAnsiTheme="majorHAnsi" w:cstheme="majorHAnsi"/>
                <w:noProof/>
                <w:lang w:val="fr-FR"/>
              </w:rPr>
              <w:t xml:space="preserve"> relatives à la sécurité prennent en compte les dimensions de genre.</w:t>
            </w:r>
          </w:p>
          <w:p w14:paraId="4BC9826A" w14:textId="77777777" w:rsidR="00D378B8" w:rsidRPr="009B1D4E" w:rsidRDefault="00D378B8" w:rsidP="00F4498B">
            <w:pPr>
              <w:pStyle w:val="Bulletlist1"/>
              <w:numPr>
                <w:ilvl w:val="0"/>
                <w:numId w:val="0"/>
              </w:numPr>
              <w:ind w:left="720"/>
              <w:rPr>
                <w:rStyle w:val="StyleArialNarrow"/>
                <w:rFonts w:asciiTheme="majorHAnsi" w:hAnsiTheme="majorHAnsi" w:cstheme="majorHAnsi"/>
                <w:noProof/>
                <w:szCs w:val="18"/>
                <w:lang w:val="fr-FR"/>
              </w:rPr>
            </w:pPr>
          </w:p>
        </w:tc>
        <w:tc>
          <w:tcPr>
            <w:tcW w:w="544" w:type="pct"/>
            <w:tcBorders>
              <w:bottom w:val="single" w:sz="4" w:space="0" w:color="auto"/>
            </w:tcBorders>
          </w:tcPr>
          <w:p w14:paraId="0C9CFE38" w14:textId="77777777" w:rsidR="00D378B8" w:rsidRPr="009B1D4E" w:rsidRDefault="00D378B8">
            <w:pPr>
              <w:rPr>
                <w:rStyle w:val="StyleArialNarrow"/>
                <w:rFonts w:asciiTheme="majorHAnsi" w:hAnsiTheme="majorHAnsi" w:cstheme="majorHAnsi"/>
                <w:noProof/>
                <w:szCs w:val="18"/>
                <w:lang w:val="fr-FR"/>
              </w:rPr>
            </w:pPr>
          </w:p>
        </w:tc>
        <w:tc>
          <w:tcPr>
            <w:tcW w:w="1005" w:type="pct"/>
            <w:gridSpan w:val="2"/>
            <w:tcBorders>
              <w:bottom w:val="single" w:sz="4" w:space="0" w:color="auto"/>
            </w:tcBorders>
          </w:tcPr>
          <w:p w14:paraId="7DD1586C" w14:textId="77777777" w:rsidR="00D378B8" w:rsidRPr="009B1D4E" w:rsidRDefault="00D378B8">
            <w:pPr>
              <w:rPr>
                <w:rStyle w:val="StyleArialNarrow"/>
                <w:rFonts w:asciiTheme="majorHAnsi" w:hAnsiTheme="majorHAnsi" w:cstheme="majorHAnsi"/>
                <w:noProof/>
                <w:szCs w:val="18"/>
                <w:lang w:val="fr-FR"/>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1676"/>
        <w:gridCol w:w="2970"/>
      </w:tblGrid>
      <w:tr w:rsidR="00D378B8" w:rsidRPr="009B1D4E" w14:paraId="1B3551D9"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5B78C7" w14:textId="77777777" w:rsidR="00D378B8" w:rsidRPr="009B1D4E" w:rsidRDefault="00F4498B">
            <w:pPr>
              <w:rPr>
                <w:rStyle w:val="StyleArialNarrow"/>
                <w:rFonts w:asciiTheme="majorHAnsi" w:hAnsiTheme="majorHAnsi" w:cstheme="majorHAnsi"/>
                <w:b/>
                <w:noProof/>
                <w:szCs w:val="18"/>
                <w:lang w:val="fr-FR"/>
              </w:rPr>
            </w:pPr>
            <w:r w:rsidRPr="009B1D4E">
              <w:rPr>
                <w:rStyle w:val="StyleArialNarrow"/>
                <w:rFonts w:asciiTheme="majorHAnsi" w:hAnsiTheme="majorHAnsi" w:cstheme="majorHAnsi"/>
                <w:b/>
                <w:noProof/>
                <w:lang w:val="fr-FR"/>
              </w:rPr>
              <w:lastRenderedPageBreak/>
              <w:t>6.5. Communication</w:t>
            </w:r>
          </w:p>
        </w:tc>
      </w:tr>
      <w:tr w:rsidR="00D378B8" w:rsidRPr="009B1D4E" w14:paraId="5D0D22E8" w14:textId="77777777">
        <w:tc>
          <w:tcPr>
            <w:tcW w:w="1667" w:type="pct"/>
            <w:tcBorders>
              <w:top w:val="single" w:sz="4" w:space="0" w:color="auto"/>
              <w:left w:val="single" w:sz="4" w:space="0" w:color="auto"/>
              <w:bottom w:val="single" w:sz="4" w:space="0" w:color="auto"/>
              <w:right w:val="single" w:sz="4" w:space="0" w:color="auto"/>
            </w:tcBorders>
          </w:tcPr>
          <w:p w14:paraId="6791A65B" w14:textId="77777777" w:rsidR="00D378B8" w:rsidRPr="009B1D4E" w:rsidRDefault="00F4498B">
            <w:pPr>
              <w:pStyle w:val="Bulletlist1"/>
              <w:rPr>
                <w:noProof/>
                <w:lang w:val="fr-FR"/>
              </w:rPr>
            </w:pPr>
            <w:r w:rsidRPr="009B1D4E">
              <w:rPr>
                <w:noProof/>
                <w:lang w:val="fr-FR"/>
              </w:rPr>
              <w:t>Précision des intentions relatives au plan de communication et de gestion des connaissances, ainsi que de la façon dont ce plan sera élaboré. Inclusion d’une</w:t>
            </w:r>
            <w:bookmarkStart w:id="6" w:name="_Hlk510534766"/>
            <w:r w:rsidRPr="009B1D4E">
              <w:rPr>
                <w:rFonts w:eastAsia="Calibri"/>
                <w:noProof/>
                <w:lang w:val="fr-FR"/>
              </w:rPr>
              <w:t xml:space="preserve"> stratégie de diffusion tenant compte de l’égalité des genres et de l’autonomisation des femmes, indiquant comment les résultats seront diffusés.</w:t>
            </w:r>
            <w:bookmarkEnd w:id="6"/>
          </w:p>
          <w:p w14:paraId="59A7D78F" w14:textId="77777777" w:rsidR="00D378B8" w:rsidRPr="009B1D4E" w:rsidRDefault="00F4498B">
            <w:pPr>
              <w:pStyle w:val="Bulletlist1"/>
              <w:rPr>
                <w:noProof/>
                <w:lang w:val="fr-FR"/>
              </w:rPr>
            </w:pPr>
            <w:r w:rsidRPr="009B1D4E">
              <w:rPr>
                <w:noProof/>
                <w:lang w:val="fr-FR"/>
              </w:rPr>
              <w:t xml:space="preserve">Définition des rôles et responsabilités en matière de communication. </w:t>
            </w:r>
          </w:p>
          <w:p w14:paraId="17057560" w14:textId="77777777" w:rsidR="00D378B8" w:rsidRPr="009B1D4E" w:rsidRDefault="00F4498B">
            <w:pPr>
              <w:pStyle w:val="Bulletlist1"/>
              <w:rPr>
                <w:noProof/>
                <w:lang w:val="fr-FR"/>
              </w:rPr>
            </w:pPr>
            <w:r w:rsidRPr="009B1D4E">
              <w:rPr>
                <w:noProof/>
                <w:lang w:val="fr-FR"/>
              </w:rPr>
              <w:t>Établissement des besoins en matière de traduction et la langue de chaque rapport, si ce n’est pas l’anglais.</w:t>
            </w:r>
          </w:p>
        </w:tc>
        <w:tc>
          <w:tcPr>
            <w:tcW w:w="1667" w:type="pct"/>
            <w:tcBorders>
              <w:top w:val="single" w:sz="4" w:space="0" w:color="auto"/>
              <w:left w:val="single" w:sz="4" w:space="0" w:color="auto"/>
              <w:bottom w:val="single" w:sz="4" w:space="0" w:color="auto"/>
              <w:right w:val="single" w:sz="4" w:space="0" w:color="auto"/>
            </w:tcBorders>
          </w:tcPr>
          <w:p w14:paraId="477490FB" w14:textId="77777777" w:rsidR="00D378B8" w:rsidRPr="009B1D4E" w:rsidRDefault="00F4498B">
            <w:pPr>
              <w:pStyle w:val="Bulletlist1"/>
              <w:rPr>
                <w:noProof/>
                <w:lang w:val="fr-FR"/>
              </w:rPr>
            </w:pPr>
            <w:r w:rsidRPr="009B1D4E">
              <w:rPr>
                <w:noProof/>
                <w:lang w:val="fr-FR"/>
              </w:rPr>
              <w:t>Les rôles et responsabilités liés à la communication ont été définis.</w:t>
            </w:r>
          </w:p>
          <w:p w14:paraId="5DEAD45C" w14:textId="77777777" w:rsidR="00D378B8" w:rsidRPr="009B1D4E" w:rsidRDefault="00F4498B">
            <w:pPr>
              <w:pStyle w:val="Bulletlist1"/>
              <w:rPr>
                <w:noProof/>
                <w:lang w:val="fr-FR"/>
              </w:rPr>
            </w:pPr>
            <w:r w:rsidRPr="009B1D4E">
              <w:rPr>
                <w:noProof/>
                <w:lang w:val="fr-FR"/>
              </w:rPr>
              <w:t>Le plan de communication et de gestion des connaissances est bien expliqué et pris en compte dans le calendrier et le budget. Il indique clairement la façon dont les parties prenantes seront impliquées tout au long du processus.</w:t>
            </w:r>
          </w:p>
          <w:p w14:paraId="14E1ABD6" w14:textId="77777777" w:rsidR="00D378B8" w:rsidRPr="009B1D4E" w:rsidRDefault="00F4498B">
            <w:pPr>
              <w:pStyle w:val="Bulletlist1"/>
              <w:rPr>
                <w:noProof/>
                <w:lang w:val="fr-FR"/>
              </w:rPr>
            </w:pPr>
            <w:r w:rsidRPr="009B1D4E">
              <w:rPr>
                <w:noProof/>
                <w:lang w:val="fr-FR"/>
              </w:rPr>
              <w:t>Les besoins en matière de traduction sont clairement définis.</w:t>
            </w:r>
          </w:p>
          <w:p w14:paraId="3089DF20" w14:textId="77777777" w:rsidR="00D378B8" w:rsidRPr="009B1D4E" w:rsidRDefault="00F4498B">
            <w:pPr>
              <w:pStyle w:val="Bulletlist1"/>
              <w:rPr>
                <w:noProof/>
                <w:lang w:val="fr-FR"/>
              </w:rPr>
            </w:pPr>
            <w:r w:rsidRPr="009B1D4E">
              <w:rPr>
                <w:noProof/>
                <w:lang w:val="fr-FR"/>
              </w:rPr>
              <w:t>La stratégie de diffusion des résultats est bien expliquée et prise en compte dans le calendrier et le budget.</w:t>
            </w:r>
          </w:p>
        </w:tc>
        <w:tc>
          <w:tcPr>
            <w:tcW w:w="601" w:type="pct"/>
            <w:tcBorders>
              <w:top w:val="single" w:sz="4" w:space="0" w:color="auto"/>
              <w:left w:val="single" w:sz="4" w:space="0" w:color="auto"/>
              <w:bottom w:val="single" w:sz="4" w:space="0" w:color="auto"/>
              <w:right w:val="single" w:sz="4" w:space="0" w:color="auto"/>
            </w:tcBorders>
          </w:tcPr>
          <w:p w14:paraId="344192D0" w14:textId="77777777" w:rsidR="00D378B8" w:rsidRPr="009B1D4E" w:rsidRDefault="00D378B8">
            <w:pPr>
              <w:rPr>
                <w:rFonts w:cs="Open Sans"/>
                <w:noProof/>
                <w:lang w:val="fr-FR"/>
              </w:rPr>
            </w:pPr>
          </w:p>
        </w:tc>
        <w:tc>
          <w:tcPr>
            <w:tcW w:w="1065" w:type="pct"/>
            <w:tcBorders>
              <w:top w:val="single" w:sz="4" w:space="0" w:color="auto"/>
              <w:left w:val="single" w:sz="4" w:space="0" w:color="auto"/>
              <w:bottom w:val="single" w:sz="4" w:space="0" w:color="auto"/>
              <w:right w:val="single" w:sz="4" w:space="0" w:color="auto"/>
            </w:tcBorders>
          </w:tcPr>
          <w:p w14:paraId="52A9F447" w14:textId="77777777" w:rsidR="00D378B8" w:rsidRPr="009B1D4E" w:rsidRDefault="00D378B8">
            <w:pPr>
              <w:rPr>
                <w:rFonts w:cs="Open Sans"/>
                <w:noProof/>
                <w:lang w:val="fr-FR"/>
              </w:rPr>
            </w:pPr>
          </w:p>
        </w:tc>
      </w:tr>
      <w:tr w:rsidR="00D378B8" w:rsidRPr="009B1D4E" w14:paraId="2B839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00F353" w14:textId="77777777" w:rsidR="00D378B8" w:rsidRPr="009B1D4E" w:rsidRDefault="00F4498B">
            <w:pPr>
              <w:rPr>
                <w:rStyle w:val="StyleArialNarrow"/>
                <w:rFonts w:asciiTheme="majorHAnsi" w:hAnsiTheme="majorHAnsi" w:cstheme="majorHAnsi"/>
                <w:b/>
                <w:bCs/>
                <w:noProof/>
                <w:szCs w:val="18"/>
                <w:lang w:val="fr-FR"/>
              </w:rPr>
            </w:pPr>
            <w:r w:rsidRPr="009B1D4E">
              <w:rPr>
                <w:rStyle w:val="StyleArialNarrow"/>
                <w:rFonts w:asciiTheme="majorHAnsi" w:hAnsiTheme="majorHAnsi" w:cstheme="majorHAnsi"/>
                <w:b/>
                <w:noProof/>
                <w:lang w:val="fr-FR"/>
              </w:rPr>
              <w:t>6.6. Proposition</w:t>
            </w:r>
          </w:p>
        </w:tc>
      </w:tr>
      <w:tr w:rsidR="00D378B8" w:rsidRPr="009B1D4E" w14:paraId="75309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Pr>
          <w:p w14:paraId="724CC735" w14:textId="77777777" w:rsidR="00D378B8" w:rsidRPr="009B1D4E" w:rsidRDefault="00F4498B">
            <w:pPr>
              <w:pStyle w:val="Bulletlist1"/>
              <w:rPr>
                <w:noProof/>
                <w:lang w:val="fr-FR"/>
              </w:rPr>
            </w:pPr>
            <w:r w:rsidRPr="009B1D4E">
              <w:rPr>
                <w:noProof/>
                <w:lang w:val="fr-FR"/>
              </w:rPr>
              <w:t xml:space="preserve">Utilisation du texte standard fourni dans le modèle de termes de référence. </w:t>
            </w:r>
          </w:p>
        </w:tc>
        <w:tc>
          <w:tcPr>
            <w:tcW w:w="1667" w:type="pct"/>
          </w:tcPr>
          <w:p w14:paraId="06833F3B" w14:textId="77777777" w:rsidR="00D378B8" w:rsidRPr="009B1D4E" w:rsidRDefault="00F4498B">
            <w:pPr>
              <w:pStyle w:val="Bulletlist1"/>
              <w:rPr>
                <w:noProof/>
                <w:lang w:val="fr-FR"/>
              </w:rPr>
            </w:pPr>
            <w:r w:rsidRPr="009B1D4E">
              <w:rPr>
                <w:noProof/>
                <w:lang w:val="fr-FR"/>
              </w:rPr>
              <w:t>Le texte standard est utilisé.</w:t>
            </w:r>
          </w:p>
          <w:p w14:paraId="741D8163" w14:textId="6B7F321B" w:rsidR="00D378B8" w:rsidRPr="009B1D4E" w:rsidRDefault="00F4498B">
            <w:pPr>
              <w:pStyle w:val="Bulletlist1"/>
              <w:rPr>
                <w:noProof/>
                <w:lang w:val="fr-FR"/>
              </w:rPr>
            </w:pPr>
            <w:r w:rsidRPr="009B1D4E">
              <w:rPr>
                <w:rStyle w:val="StyleArialNarrow"/>
                <w:rFonts w:asciiTheme="majorHAnsi" w:hAnsiTheme="majorHAnsi" w:cstheme="majorHAnsi"/>
                <w:noProof/>
                <w:lang w:val="fr-FR"/>
              </w:rPr>
              <w:t xml:space="preserve">Les éléments relatifs aux coûts devant être inclus dans le budget de l’évaluation sont clairs (ateliers, efforts spéciaux de communication, etc.). [Remarque: ces éléments varieront en fonction de </w:t>
            </w:r>
            <w:r w:rsidRPr="009B1D4E">
              <w:rPr>
                <w:noProof/>
                <w:lang w:val="fr-FR"/>
              </w:rPr>
              <w:t>l’option contractuelle utilisée</w:t>
            </w:r>
            <w:r w:rsidR="00A178D5">
              <w:rPr>
                <w:noProof/>
                <w:lang w:val="fr-FR"/>
              </w:rPr>
              <w:t>.</w:t>
            </w:r>
            <w:r w:rsidRPr="009B1D4E">
              <w:rPr>
                <w:noProof/>
                <w:lang w:val="fr-FR"/>
              </w:rPr>
              <w:t>]</w:t>
            </w:r>
          </w:p>
        </w:tc>
        <w:tc>
          <w:tcPr>
            <w:tcW w:w="601" w:type="pct"/>
          </w:tcPr>
          <w:p w14:paraId="2AF9B3B1" w14:textId="77777777" w:rsidR="00D378B8" w:rsidRPr="009B1D4E" w:rsidRDefault="00D378B8">
            <w:pPr>
              <w:rPr>
                <w:rFonts w:cs="Open Sans"/>
                <w:noProof/>
                <w:lang w:val="fr-FR"/>
              </w:rPr>
            </w:pPr>
          </w:p>
        </w:tc>
        <w:tc>
          <w:tcPr>
            <w:tcW w:w="1065" w:type="pct"/>
          </w:tcPr>
          <w:p w14:paraId="486F698A" w14:textId="77777777" w:rsidR="00D378B8" w:rsidRPr="009B1D4E" w:rsidRDefault="00D378B8">
            <w:pPr>
              <w:rPr>
                <w:rFonts w:cs="Open Sans"/>
                <w:noProof/>
                <w:lang w:val="fr-FR"/>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49"/>
        <w:gridCol w:w="1676"/>
        <w:gridCol w:w="2970"/>
      </w:tblGrid>
      <w:tr w:rsidR="00D378B8" w:rsidRPr="009B1D4E" w14:paraId="6E19AFE7" w14:textId="77777777">
        <w:tc>
          <w:tcPr>
            <w:tcW w:w="1667" w:type="pct"/>
            <w:shd w:val="clear" w:color="auto" w:fill="1073B5"/>
          </w:tcPr>
          <w:p w14:paraId="651B58A4"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Annexes</w:t>
            </w:r>
          </w:p>
        </w:tc>
        <w:tc>
          <w:tcPr>
            <w:tcW w:w="1667" w:type="pct"/>
            <w:shd w:val="clear" w:color="auto" w:fill="1073B5"/>
          </w:tcPr>
          <w:p w14:paraId="652465DD" w14:textId="3F587C7E"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Critères d</w:t>
            </w:r>
            <w:r w:rsidR="009B1D4E" w:rsidRPr="009B1D4E">
              <w:rPr>
                <w:rStyle w:val="StyleArialNarrow"/>
                <w:rFonts w:asciiTheme="majorHAnsi" w:hAnsiTheme="majorHAnsi" w:cstheme="majorHAnsi"/>
                <w:b/>
                <w:noProof/>
                <w:color w:val="FFFFFF" w:themeColor="background1"/>
                <w:lang w:val="fr-FR"/>
              </w:rPr>
              <w:t>’</w:t>
            </w:r>
            <w:r w:rsidRPr="009B1D4E">
              <w:rPr>
                <w:rStyle w:val="StyleArialNarrow"/>
                <w:rFonts w:asciiTheme="majorHAnsi" w:hAnsiTheme="majorHAnsi" w:cstheme="majorHAnsi"/>
                <w:b/>
                <w:noProof/>
                <w:color w:val="FFFFFF" w:themeColor="background1"/>
                <w:lang w:val="fr-FR"/>
              </w:rPr>
              <w:t>évaluation</w:t>
            </w:r>
          </w:p>
        </w:tc>
        <w:tc>
          <w:tcPr>
            <w:tcW w:w="601" w:type="pct"/>
            <w:shd w:val="clear" w:color="auto" w:fill="1073B5"/>
          </w:tcPr>
          <w:p w14:paraId="4064CAC4"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Critères remplis</w:t>
            </w:r>
          </w:p>
        </w:tc>
        <w:tc>
          <w:tcPr>
            <w:tcW w:w="1065" w:type="pct"/>
            <w:shd w:val="clear" w:color="auto" w:fill="1073B5"/>
          </w:tcPr>
          <w:p w14:paraId="75C3A83A" w14:textId="77777777" w:rsidR="00D378B8" w:rsidRPr="009B1D4E" w:rsidRDefault="00F4498B">
            <w:pPr>
              <w:rPr>
                <w:rStyle w:val="StyleArialNarrow"/>
                <w:rFonts w:asciiTheme="majorHAnsi" w:hAnsiTheme="majorHAnsi" w:cstheme="majorHAnsi"/>
                <w:b/>
                <w:noProof/>
                <w:color w:val="FFFFFF" w:themeColor="background1"/>
                <w:szCs w:val="18"/>
                <w:lang w:val="fr-FR"/>
              </w:rPr>
            </w:pPr>
            <w:r w:rsidRPr="009B1D4E">
              <w:rPr>
                <w:rStyle w:val="StyleArialNarrow"/>
                <w:rFonts w:asciiTheme="majorHAnsi" w:hAnsiTheme="majorHAnsi" w:cstheme="majorHAnsi"/>
                <w:b/>
                <w:noProof/>
                <w:color w:val="FFFFFF" w:themeColor="background1"/>
                <w:lang w:val="fr-FR"/>
              </w:rPr>
              <w:t>Commentaires/statut</w:t>
            </w:r>
          </w:p>
        </w:tc>
      </w:tr>
      <w:tr w:rsidR="00D378B8" w:rsidRPr="009B1D4E" w14:paraId="486DC07F" w14:textId="77777777">
        <w:trPr>
          <w:trHeight w:val="274"/>
        </w:trPr>
        <w:tc>
          <w:tcPr>
            <w:tcW w:w="1667" w:type="pct"/>
          </w:tcPr>
          <w:p w14:paraId="6A7E346A" w14:textId="77777777" w:rsidR="00D378B8" w:rsidRPr="009B1D4E" w:rsidRDefault="00F4498B">
            <w:pPr>
              <w:pStyle w:val="Bulletlist1"/>
              <w:rPr>
                <w:noProof/>
                <w:lang w:val="fr-FR"/>
              </w:rPr>
            </w:pPr>
            <w:r w:rsidRPr="009B1D4E">
              <w:rPr>
                <w:noProof/>
                <w:lang w:val="fr-FR"/>
              </w:rPr>
              <w:t xml:space="preserve">Les annexes obligatoires sont les suivantes: </w:t>
            </w:r>
          </w:p>
          <w:p w14:paraId="06ADBE52" w14:textId="77777777" w:rsidR="00D378B8" w:rsidRPr="009B1D4E" w:rsidRDefault="00F4498B">
            <w:pPr>
              <w:pStyle w:val="Bulletlist1"/>
              <w:rPr>
                <w:noProof/>
                <w:lang w:val="fr-FR"/>
              </w:rPr>
            </w:pPr>
            <w:r w:rsidRPr="009B1D4E">
              <w:rPr>
                <w:noProof/>
                <w:lang w:val="fr-FR"/>
              </w:rPr>
              <w:t>Carte(s)</w:t>
            </w:r>
          </w:p>
          <w:p w14:paraId="526B1446" w14:textId="77777777" w:rsidR="00D378B8" w:rsidRPr="009B1D4E" w:rsidRDefault="00F4498B">
            <w:pPr>
              <w:pStyle w:val="Bulletlist1"/>
              <w:rPr>
                <w:noProof/>
                <w:lang w:val="fr-FR"/>
              </w:rPr>
            </w:pPr>
            <w:r w:rsidRPr="009B1D4E">
              <w:rPr>
                <w:noProof/>
                <w:lang w:val="fr-FR"/>
              </w:rPr>
              <w:t>Chronologie de l’évaluation</w:t>
            </w:r>
          </w:p>
          <w:p w14:paraId="70F59C04" w14:textId="77777777" w:rsidR="00D378B8" w:rsidRPr="009B1D4E" w:rsidRDefault="00F4498B">
            <w:pPr>
              <w:pStyle w:val="Bulletlist1"/>
              <w:rPr>
                <w:noProof/>
                <w:lang w:val="fr-FR"/>
              </w:rPr>
            </w:pPr>
            <w:r w:rsidRPr="009B1D4E">
              <w:rPr>
                <w:noProof/>
                <w:lang w:val="fr-FR"/>
              </w:rPr>
              <w:t xml:space="preserve">Rôle et composition du comité d’évaluation </w:t>
            </w:r>
          </w:p>
          <w:p w14:paraId="196F3673" w14:textId="77777777" w:rsidR="00D378B8" w:rsidRPr="009B1D4E" w:rsidRDefault="00F4498B">
            <w:pPr>
              <w:pStyle w:val="Bulletlist1"/>
              <w:rPr>
                <w:noProof/>
                <w:lang w:val="fr-FR"/>
              </w:rPr>
            </w:pPr>
            <w:r w:rsidRPr="009B1D4E">
              <w:rPr>
                <w:noProof/>
                <w:lang w:val="fr-FR"/>
              </w:rPr>
              <w:t xml:space="preserve">Rôle et composition du groupe de référence de l’évaluation </w:t>
            </w:r>
          </w:p>
          <w:p w14:paraId="5A8889F4" w14:textId="77777777" w:rsidR="00D378B8" w:rsidRPr="009B1D4E" w:rsidRDefault="00F4498B">
            <w:pPr>
              <w:pStyle w:val="Bulletlist1"/>
              <w:rPr>
                <w:noProof/>
                <w:lang w:val="fr-FR"/>
              </w:rPr>
            </w:pPr>
            <w:r w:rsidRPr="009B1D4E">
              <w:rPr>
                <w:noProof/>
                <w:lang w:val="fr-FR"/>
              </w:rPr>
              <w:t>Plan de communication, d’apprentissage et de gestion des connaissances</w:t>
            </w:r>
          </w:p>
          <w:p w14:paraId="43214DFA" w14:textId="77777777" w:rsidR="00D378B8" w:rsidRPr="009B1D4E" w:rsidRDefault="00F4498B">
            <w:pPr>
              <w:pStyle w:val="Bulletlist1"/>
              <w:rPr>
                <w:noProof/>
                <w:lang w:val="fr-FR"/>
              </w:rPr>
            </w:pPr>
            <w:r w:rsidRPr="009B1D4E">
              <w:rPr>
                <w:noProof/>
                <w:lang w:val="fr-FR"/>
              </w:rPr>
              <w:t>Bibliographie</w:t>
            </w:r>
          </w:p>
          <w:p w14:paraId="6FB93EB8" w14:textId="77777777" w:rsidR="00D378B8" w:rsidRPr="009B1D4E" w:rsidRDefault="00F4498B">
            <w:pPr>
              <w:pStyle w:val="Bulletlist1"/>
              <w:rPr>
                <w:noProof/>
                <w:lang w:val="fr-FR"/>
              </w:rPr>
            </w:pPr>
            <w:r w:rsidRPr="009B1D4E">
              <w:rPr>
                <w:noProof/>
                <w:lang w:val="fr-FR"/>
              </w:rPr>
              <w:lastRenderedPageBreak/>
              <w:t>Liste des acronymes</w:t>
            </w:r>
          </w:p>
          <w:p w14:paraId="30A7FCF3" w14:textId="77777777" w:rsidR="00D378B8" w:rsidRPr="009B1D4E" w:rsidRDefault="00F4498B">
            <w:pPr>
              <w:pStyle w:val="Bulletlist1"/>
              <w:rPr>
                <w:noProof/>
                <w:lang w:val="fr-FR"/>
              </w:rPr>
            </w:pPr>
            <w:r w:rsidRPr="009B1D4E">
              <w:rPr>
                <w:noProof/>
                <w:lang w:val="fr-FR"/>
              </w:rPr>
              <w:t xml:space="preserve">Les annexes facultatives incluent: </w:t>
            </w:r>
          </w:p>
          <w:p w14:paraId="379FC387" w14:textId="77777777" w:rsidR="00D378B8" w:rsidRPr="009B1D4E" w:rsidRDefault="00F4498B">
            <w:pPr>
              <w:pStyle w:val="Bulletlist1"/>
              <w:rPr>
                <w:noProof/>
                <w:lang w:val="fr-FR"/>
              </w:rPr>
            </w:pPr>
            <w:r w:rsidRPr="009B1D4E">
              <w:rPr>
                <w:noProof/>
                <w:lang w:val="fr-FR"/>
              </w:rPr>
              <w:t xml:space="preserve">Toute autre annexe technique </w:t>
            </w:r>
          </w:p>
        </w:tc>
        <w:tc>
          <w:tcPr>
            <w:tcW w:w="1667" w:type="pct"/>
          </w:tcPr>
          <w:p w14:paraId="071CF64D" w14:textId="77777777" w:rsidR="00D378B8" w:rsidRPr="009B1D4E" w:rsidRDefault="00F4498B">
            <w:pPr>
              <w:pStyle w:val="Bulletlist1"/>
              <w:rPr>
                <w:noProof/>
                <w:lang w:val="fr-FR"/>
              </w:rPr>
            </w:pPr>
            <w:r w:rsidRPr="009B1D4E">
              <w:rPr>
                <w:rStyle w:val="StyleArialNarrow"/>
                <w:rFonts w:asciiTheme="majorHAnsi" w:hAnsiTheme="majorHAnsi" w:cstheme="majorHAnsi"/>
                <w:noProof/>
                <w:lang w:val="fr-FR"/>
              </w:rPr>
              <w:lastRenderedPageBreak/>
              <w:t>Toutes les annexes obligatoires sont</w:t>
            </w:r>
            <w:r w:rsidRPr="009B1D4E">
              <w:rPr>
                <w:noProof/>
                <w:lang w:val="fr-FR"/>
              </w:rPr>
              <w:t xml:space="preserve"> incluses. </w:t>
            </w:r>
          </w:p>
          <w:p w14:paraId="7D219CCB" w14:textId="77777777" w:rsidR="00D378B8" w:rsidRPr="009B1D4E" w:rsidRDefault="00F4498B">
            <w:pPr>
              <w:pStyle w:val="Bulletlist1"/>
              <w:rPr>
                <w:rStyle w:val="StyleArialNarrow"/>
                <w:rFonts w:asciiTheme="majorHAnsi" w:hAnsiTheme="majorHAnsi" w:cstheme="majorHAnsi"/>
                <w:noProof/>
                <w:szCs w:val="18"/>
                <w:lang w:val="fr-FR"/>
              </w:rPr>
            </w:pPr>
            <w:r w:rsidRPr="009B1D4E">
              <w:rPr>
                <w:noProof/>
                <w:lang w:val="fr-FR"/>
              </w:rPr>
              <w:t>D’autres annexes techniques pertinentes sont requises.</w:t>
            </w:r>
          </w:p>
        </w:tc>
        <w:tc>
          <w:tcPr>
            <w:tcW w:w="601" w:type="pct"/>
          </w:tcPr>
          <w:p w14:paraId="0D891A20" w14:textId="77777777" w:rsidR="00D378B8" w:rsidRPr="009B1D4E" w:rsidRDefault="00D378B8">
            <w:pPr>
              <w:rPr>
                <w:rStyle w:val="StyleArialNarrow"/>
                <w:rFonts w:asciiTheme="majorHAnsi" w:hAnsiTheme="majorHAnsi" w:cstheme="majorHAnsi"/>
                <w:noProof/>
                <w:szCs w:val="18"/>
                <w:lang w:val="fr-FR"/>
              </w:rPr>
            </w:pPr>
          </w:p>
        </w:tc>
        <w:tc>
          <w:tcPr>
            <w:tcW w:w="1065" w:type="pct"/>
          </w:tcPr>
          <w:p w14:paraId="5FBBF332" w14:textId="77777777" w:rsidR="00D378B8" w:rsidRPr="009B1D4E" w:rsidRDefault="00D378B8">
            <w:pPr>
              <w:rPr>
                <w:rStyle w:val="StyleArialNarrow"/>
                <w:rFonts w:asciiTheme="majorHAnsi" w:hAnsiTheme="majorHAnsi" w:cstheme="majorHAnsi"/>
                <w:noProof/>
                <w:szCs w:val="18"/>
                <w:lang w:val="fr-FR"/>
              </w:rPr>
            </w:pPr>
          </w:p>
        </w:tc>
      </w:tr>
    </w:tbl>
    <w:p w14:paraId="357EA13A" w14:textId="77777777" w:rsidR="00D378B8" w:rsidRPr="009B1D4E" w:rsidRDefault="00D378B8">
      <w:pPr>
        <w:rPr>
          <w:noProof/>
          <w:lang w:val="fr-FR"/>
        </w:rPr>
      </w:pPr>
    </w:p>
    <w:sectPr w:rsidR="00D378B8" w:rsidRPr="009B1D4E">
      <w:footerReference w:type="default" r:id="rId19"/>
      <w:pgSz w:w="16834" w:h="11909"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1C3B" w14:textId="77777777" w:rsidR="00FC50B4" w:rsidRDefault="00FC50B4">
      <w:pPr>
        <w:spacing w:before="0" w:after="0"/>
      </w:pPr>
      <w:r>
        <w:separator/>
      </w:r>
    </w:p>
    <w:p w14:paraId="16A0AA1A" w14:textId="77777777" w:rsidR="00FC50B4" w:rsidRDefault="00FC50B4"/>
  </w:endnote>
  <w:endnote w:type="continuationSeparator" w:id="0">
    <w:p w14:paraId="1EE853F2" w14:textId="77777777" w:rsidR="00FC50B4" w:rsidRDefault="00FC50B4">
      <w:pPr>
        <w:spacing w:before="0" w:after="0"/>
      </w:pPr>
      <w:r>
        <w:continuationSeparator/>
      </w:r>
    </w:p>
    <w:p w14:paraId="51E92608" w14:textId="77777777" w:rsidR="00FC50B4" w:rsidRDefault="00FC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B854" w14:textId="77777777" w:rsidR="009B1D4E" w:rsidRDefault="009B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0D9C" w14:textId="77777777" w:rsidR="00D378B8" w:rsidRDefault="00D37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6AF" w14:textId="77777777" w:rsidR="009B1D4E" w:rsidRDefault="009B1D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FDD" w14:textId="77777777" w:rsidR="00D378B8" w:rsidRDefault="00D37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D3D3" w14:textId="77777777" w:rsidR="00FC50B4" w:rsidRDefault="00FC50B4">
      <w:pPr>
        <w:spacing w:before="0" w:after="0"/>
      </w:pPr>
      <w:r>
        <w:separator/>
      </w:r>
    </w:p>
    <w:p w14:paraId="58FF1706" w14:textId="77777777" w:rsidR="00FC50B4" w:rsidRDefault="00FC50B4"/>
  </w:footnote>
  <w:footnote w:type="continuationSeparator" w:id="0">
    <w:p w14:paraId="58518F28" w14:textId="77777777" w:rsidR="00FC50B4" w:rsidRDefault="00FC50B4">
      <w:pPr>
        <w:spacing w:before="0" w:after="0"/>
      </w:pPr>
      <w:r>
        <w:continuationSeparator/>
      </w:r>
    </w:p>
    <w:p w14:paraId="4BEDE226" w14:textId="77777777" w:rsidR="00FC50B4" w:rsidRDefault="00FC5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F33D" w14:textId="77777777" w:rsidR="009B1D4E" w:rsidRDefault="009B1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8751" w14:textId="77777777" w:rsidR="00D378B8" w:rsidRDefault="00D37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C100" w14:textId="77777777" w:rsidR="009B1D4E" w:rsidRDefault="009B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5B3"/>
    <w:multiLevelType w:val="hybridMultilevel"/>
    <w:tmpl w:val="337C6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3DCA"/>
    <w:multiLevelType w:val="hybridMultilevel"/>
    <w:tmpl w:val="CB9EE7D4"/>
    <w:lvl w:ilvl="0" w:tplc="7108CCBA">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D3317"/>
    <w:multiLevelType w:val="hybridMultilevel"/>
    <w:tmpl w:val="7D025D9A"/>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657FDE"/>
    <w:multiLevelType w:val="hybridMultilevel"/>
    <w:tmpl w:val="5EE85386"/>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CC68F5"/>
    <w:multiLevelType w:val="multilevel"/>
    <w:tmpl w:val="8B78168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E87E9D"/>
    <w:multiLevelType w:val="hybridMultilevel"/>
    <w:tmpl w:val="5922CBAA"/>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E12BE"/>
    <w:multiLevelType w:val="hybridMultilevel"/>
    <w:tmpl w:val="62C82F1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F322A"/>
    <w:multiLevelType w:val="hybridMultilevel"/>
    <w:tmpl w:val="56CE7BC6"/>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E2731"/>
    <w:multiLevelType w:val="hybridMultilevel"/>
    <w:tmpl w:val="85D00A7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4989"/>
    <w:multiLevelType w:val="hybridMultilevel"/>
    <w:tmpl w:val="9E10563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F51053"/>
    <w:multiLevelType w:val="hybridMultilevel"/>
    <w:tmpl w:val="C756AA20"/>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52197"/>
    <w:multiLevelType w:val="hybridMultilevel"/>
    <w:tmpl w:val="A2DA2A5A"/>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6A5E"/>
    <w:multiLevelType w:val="hybridMultilevel"/>
    <w:tmpl w:val="D77C40E8"/>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76F3236"/>
    <w:multiLevelType w:val="hybridMultilevel"/>
    <w:tmpl w:val="EBE667F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86070"/>
    <w:multiLevelType w:val="hybridMultilevel"/>
    <w:tmpl w:val="50042728"/>
    <w:lvl w:ilvl="0" w:tplc="816E00A2">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052CF"/>
    <w:multiLevelType w:val="hybridMultilevel"/>
    <w:tmpl w:val="18E210F0"/>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44284"/>
    <w:multiLevelType w:val="hybridMultilevel"/>
    <w:tmpl w:val="155CD5D8"/>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28" w15:restartNumberingAfterBreak="0">
    <w:nsid w:val="4F0121B8"/>
    <w:multiLevelType w:val="hybridMultilevel"/>
    <w:tmpl w:val="92DC8FE2"/>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12997"/>
    <w:multiLevelType w:val="hybridMultilevel"/>
    <w:tmpl w:val="731684E0"/>
    <w:lvl w:ilvl="0" w:tplc="6F266EF8">
      <w:start w:val="1"/>
      <w:numFmt w:val="bullet"/>
      <w:lvlText w:val=""/>
      <w:lvlJc w:val="left"/>
      <w:pPr>
        <w:ind w:left="284" w:hanging="284"/>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803259"/>
    <w:multiLevelType w:val="hybridMultilevel"/>
    <w:tmpl w:val="6B98172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C4D89"/>
    <w:multiLevelType w:val="hybridMultilevel"/>
    <w:tmpl w:val="83BE7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57A1B"/>
    <w:multiLevelType w:val="hybridMultilevel"/>
    <w:tmpl w:val="4E92A8B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F5A64"/>
    <w:multiLevelType w:val="hybridMultilevel"/>
    <w:tmpl w:val="0B1ED25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A40F2"/>
    <w:multiLevelType w:val="hybridMultilevel"/>
    <w:tmpl w:val="A33E0C78"/>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E02BB"/>
    <w:multiLevelType w:val="hybridMultilevel"/>
    <w:tmpl w:val="EFF2A906"/>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0" w15:restartNumberingAfterBreak="0">
    <w:nsid w:val="6BA26A62"/>
    <w:multiLevelType w:val="hybridMultilevel"/>
    <w:tmpl w:val="D55E24DC"/>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0379D"/>
    <w:multiLevelType w:val="hybridMultilevel"/>
    <w:tmpl w:val="7D409CC0"/>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4"/>
  </w:num>
  <w:num w:numId="2" w16cid:durableId="733357456">
    <w:abstractNumId w:val="4"/>
    <w:lvlOverride w:ilvl="0">
      <w:startOverride w:val="1"/>
    </w:lvlOverride>
  </w:num>
  <w:num w:numId="3" w16cid:durableId="1757901346">
    <w:abstractNumId w:val="19"/>
  </w:num>
  <w:num w:numId="4" w16cid:durableId="1732459491">
    <w:abstractNumId w:val="19"/>
  </w:num>
  <w:num w:numId="5" w16cid:durableId="1017730534">
    <w:abstractNumId w:val="9"/>
  </w:num>
  <w:num w:numId="6" w16cid:durableId="894662189">
    <w:abstractNumId w:val="41"/>
  </w:num>
  <w:num w:numId="7" w16cid:durableId="1718162300">
    <w:abstractNumId w:val="17"/>
  </w:num>
  <w:num w:numId="8" w16cid:durableId="1525828240">
    <w:abstractNumId w:val="5"/>
  </w:num>
  <w:num w:numId="9" w16cid:durableId="433090154">
    <w:abstractNumId w:val="39"/>
  </w:num>
  <w:num w:numId="10" w16cid:durableId="819812819">
    <w:abstractNumId w:val="15"/>
  </w:num>
  <w:num w:numId="11" w16cid:durableId="1711955447">
    <w:abstractNumId w:val="12"/>
  </w:num>
  <w:num w:numId="12" w16cid:durableId="1896887703">
    <w:abstractNumId w:val="13"/>
  </w:num>
  <w:num w:numId="13" w16cid:durableId="51395116">
    <w:abstractNumId w:val="42"/>
  </w:num>
  <w:num w:numId="14" w16cid:durableId="1897668153">
    <w:abstractNumId w:val="16"/>
  </w:num>
  <w:num w:numId="15" w16cid:durableId="1829128812">
    <w:abstractNumId w:val="34"/>
  </w:num>
  <w:num w:numId="16" w16cid:durableId="174534894">
    <w:abstractNumId w:val="38"/>
  </w:num>
  <w:num w:numId="17" w16cid:durableId="1220630014">
    <w:abstractNumId w:val="27"/>
  </w:num>
  <w:num w:numId="18" w16cid:durableId="26876612">
    <w:abstractNumId w:val="1"/>
  </w:num>
  <w:num w:numId="19" w16cid:durableId="1734542127">
    <w:abstractNumId w:val="36"/>
  </w:num>
  <w:num w:numId="20" w16cid:durableId="555357360">
    <w:abstractNumId w:val="28"/>
  </w:num>
  <w:num w:numId="21" w16cid:durableId="1219584997">
    <w:abstractNumId w:val="2"/>
  </w:num>
  <w:num w:numId="22" w16cid:durableId="432166540">
    <w:abstractNumId w:val="21"/>
  </w:num>
  <w:num w:numId="23" w16cid:durableId="1952473656">
    <w:abstractNumId w:val="24"/>
  </w:num>
  <w:num w:numId="24" w16cid:durableId="1649897076">
    <w:abstractNumId w:val="14"/>
  </w:num>
  <w:num w:numId="25" w16cid:durableId="650673913">
    <w:abstractNumId w:val="23"/>
  </w:num>
  <w:num w:numId="26" w16cid:durableId="1764301988">
    <w:abstractNumId w:val="32"/>
  </w:num>
  <w:num w:numId="27" w16cid:durableId="1979449">
    <w:abstractNumId w:val="30"/>
  </w:num>
  <w:num w:numId="28" w16cid:durableId="600458095">
    <w:abstractNumId w:val="33"/>
  </w:num>
  <w:num w:numId="29" w16cid:durableId="1005742497">
    <w:abstractNumId w:val="18"/>
  </w:num>
  <w:num w:numId="30" w16cid:durableId="219095385">
    <w:abstractNumId w:val="10"/>
  </w:num>
  <w:num w:numId="31" w16cid:durableId="152455454">
    <w:abstractNumId w:val="43"/>
  </w:num>
  <w:num w:numId="32" w16cid:durableId="1179348229">
    <w:abstractNumId w:val="26"/>
  </w:num>
  <w:num w:numId="33" w16cid:durableId="453404081">
    <w:abstractNumId w:val="3"/>
  </w:num>
  <w:num w:numId="34" w16cid:durableId="132409176">
    <w:abstractNumId w:val="8"/>
  </w:num>
  <w:num w:numId="35" w16cid:durableId="2022968746">
    <w:abstractNumId w:val="37"/>
  </w:num>
  <w:num w:numId="36" w16cid:durableId="1778913491">
    <w:abstractNumId w:val="11"/>
  </w:num>
  <w:num w:numId="37" w16cid:durableId="406193608">
    <w:abstractNumId w:val="35"/>
  </w:num>
  <w:num w:numId="38" w16cid:durableId="54592019">
    <w:abstractNumId w:val="25"/>
  </w:num>
  <w:num w:numId="39" w16cid:durableId="1415205178">
    <w:abstractNumId w:val="20"/>
  </w:num>
  <w:num w:numId="40" w16cid:durableId="1609896399">
    <w:abstractNumId w:val="31"/>
  </w:num>
  <w:num w:numId="41" w16cid:durableId="2034263952">
    <w:abstractNumId w:val="6"/>
  </w:num>
  <w:num w:numId="42" w16cid:durableId="1021590403">
    <w:abstractNumId w:val="29"/>
  </w:num>
  <w:num w:numId="43" w16cid:durableId="1483231669">
    <w:abstractNumId w:val="7"/>
  </w:num>
  <w:num w:numId="44" w16cid:durableId="1890608956">
    <w:abstractNumId w:val="22"/>
  </w:num>
  <w:num w:numId="45" w16cid:durableId="866210643">
    <w:abstractNumId w:val="40"/>
  </w:num>
  <w:num w:numId="46" w16cid:durableId="207619909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C02DC"/>
    <w:rsid w:val="000C58FF"/>
    <w:rsid w:val="000C5DE8"/>
    <w:rsid w:val="000D1C9C"/>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5439"/>
    <w:rsid w:val="0018760C"/>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179D9"/>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4FAC"/>
    <w:rsid w:val="0088735A"/>
    <w:rsid w:val="00887E17"/>
    <w:rsid w:val="0089081F"/>
    <w:rsid w:val="00890FB1"/>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1D4E"/>
    <w:rsid w:val="009B2705"/>
    <w:rsid w:val="009B4C8E"/>
    <w:rsid w:val="009C508F"/>
    <w:rsid w:val="009C6B08"/>
    <w:rsid w:val="009C75A4"/>
    <w:rsid w:val="009D6F6A"/>
    <w:rsid w:val="009D72E2"/>
    <w:rsid w:val="009E75CC"/>
    <w:rsid w:val="009F03A7"/>
    <w:rsid w:val="00A0760D"/>
    <w:rsid w:val="00A0796D"/>
    <w:rsid w:val="00A11A38"/>
    <w:rsid w:val="00A16F0F"/>
    <w:rsid w:val="00A178D5"/>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378B8"/>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4498B"/>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C50B4"/>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2441C"/>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P68B1DB1-ListParagraph1">
    <w:name w:val="P68B1DB1-ListParagraph1"/>
    <w:basedOn w:val="ListParagraph"/>
    <w:rPr>
      <w:rFonts w:asciiTheme="majorHAnsi" w:hAnsiTheme="majorHAnsi" w:cstheme="majorHAnsi"/>
      <w:b/>
      <w:color w:val="FFFFFF" w:themeColor="background1"/>
    </w:rPr>
  </w:style>
  <w:style w:type="paragraph" w:customStyle="1" w:styleId="P68B1DB1-Bulletlist12">
    <w:name w:val="P68B1DB1-Bulletlist12"/>
    <w:basedOn w:val="Bulletlist1"/>
    <w:rPr>
      <w:rFonts w:eastAsia="Times New Roman"/>
    </w:rPr>
  </w:style>
  <w:style w:type="paragraph" w:customStyle="1" w:styleId="P68B1DB1-Normal3">
    <w:name w:val="P68B1DB1-Normal3"/>
    <w:basedOn w:val="Normal"/>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wfp.decentralizedevaluation@wfp.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Props1.xml><?xml version="1.0" encoding="utf-8"?>
<ds:datastoreItem xmlns:ds="http://schemas.openxmlformats.org/officeDocument/2006/customXml" ds:itemID="{7E77C41E-A7F0-4476-A139-1BDC81FC7616}">
  <ds:schemaRefs>
    <ds:schemaRef ds:uri="http://schemas.microsoft.com/sharepoint/v3/contenttype/forms"/>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E337C5C2-7F83-4061-A317-E0624B75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49211-CCA7-4C01-82DC-E1C1B0AF1B9A}">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3691</Words>
  <Characters>21040</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Chiara RACCICHINI</cp:lastModifiedBy>
  <cp:revision>2</cp:revision>
  <cp:lastPrinted>2024-03-13T13:13:00Z</cp:lastPrinted>
  <dcterms:created xsi:type="dcterms:W3CDTF">2024-07-30T07:03:00Z</dcterms:created>
  <dcterms:modified xsi:type="dcterms:W3CDTF">2024-07-30T07:03:00Z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ies>
</file>